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3805DB" w14:textId="25C10A7B" w:rsidR="007546AD" w:rsidRPr="00D37313" w:rsidRDefault="007356F8" w:rsidP="00BB45A6">
      <w:pPr>
        <w:pStyle w:val="Addressline"/>
      </w:pPr>
      <w:bookmarkStart w:id="0" w:name="_Toc431479989"/>
      <w:bookmarkStart w:id="1" w:name="_Toc431480212"/>
      <w:bookmarkStart w:id="2" w:name="_GoBack"/>
      <w:bookmarkEnd w:id="2"/>
      <w:r w:rsidRPr="00D37313">
        <w:t>Mr. David Bradbury</w:t>
      </w:r>
    </w:p>
    <w:p w14:paraId="59896DE3" w14:textId="5ED43848" w:rsidR="00BB45A6" w:rsidRPr="00D37313" w:rsidRDefault="007356F8" w:rsidP="00BB45A6">
      <w:pPr>
        <w:pStyle w:val="Addressline"/>
      </w:pPr>
      <w:r w:rsidRPr="00D37313">
        <w:t>Head of Division, Tax Policy and Statistics Division</w:t>
      </w:r>
    </w:p>
    <w:p w14:paraId="0E7FFFF8" w14:textId="541E527C" w:rsidR="007356F8" w:rsidRPr="00D37313" w:rsidRDefault="007356F8" w:rsidP="00BB45A6">
      <w:pPr>
        <w:pStyle w:val="Addressline"/>
      </w:pPr>
      <w:r w:rsidRPr="00D37313">
        <w:t>Centre for Tax Policy Administration</w:t>
      </w:r>
    </w:p>
    <w:p w14:paraId="2A4F4D45" w14:textId="522B5FED" w:rsidR="007356F8" w:rsidRPr="00D37313" w:rsidRDefault="007356F8" w:rsidP="00BB45A6">
      <w:pPr>
        <w:pStyle w:val="Addressline"/>
      </w:pPr>
      <w:r w:rsidRPr="00D37313">
        <w:t>OECD</w:t>
      </w:r>
    </w:p>
    <w:p w14:paraId="650BEFD8" w14:textId="7618E1CB" w:rsidR="007356F8" w:rsidRPr="00D35A65" w:rsidRDefault="007356F8" w:rsidP="00BB45A6">
      <w:pPr>
        <w:pStyle w:val="Addressline"/>
        <w:rPr>
          <w:lang w:val="fr-BE"/>
        </w:rPr>
      </w:pPr>
      <w:r w:rsidRPr="00D35A65">
        <w:rPr>
          <w:lang w:val="fr-BE"/>
        </w:rPr>
        <w:t>2 rue André-Pascal</w:t>
      </w:r>
    </w:p>
    <w:p w14:paraId="339B1159" w14:textId="4234B27F" w:rsidR="007356F8" w:rsidRPr="00D35A65" w:rsidRDefault="007356F8" w:rsidP="00BB45A6">
      <w:pPr>
        <w:pStyle w:val="Addressline"/>
        <w:rPr>
          <w:lang w:val="fr-BE"/>
        </w:rPr>
      </w:pPr>
      <w:r w:rsidRPr="00D35A65">
        <w:rPr>
          <w:lang w:val="fr-BE"/>
        </w:rPr>
        <w:t>75775, Paris, Cedex 16</w:t>
      </w:r>
    </w:p>
    <w:p w14:paraId="7AB077F7" w14:textId="31AA41CA" w:rsidR="007356F8" w:rsidRPr="00D37313" w:rsidRDefault="007356F8" w:rsidP="00BB45A6">
      <w:pPr>
        <w:pStyle w:val="Addressline"/>
      </w:pPr>
      <w:r w:rsidRPr="00D37313">
        <w:t>France</w:t>
      </w:r>
    </w:p>
    <w:p w14:paraId="1FCFD57A" w14:textId="77777777" w:rsidR="007356F8" w:rsidRPr="00D37313" w:rsidRDefault="007356F8" w:rsidP="00F9638C">
      <w:pPr>
        <w:pStyle w:val="Addressline"/>
      </w:pPr>
    </w:p>
    <w:p w14:paraId="41457FFF" w14:textId="7F91A30A" w:rsidR="007546AD" w:rsidRPr="00D37313" w:rsidRDefault="007546AD" w:rsidP="00F9638C">
      <w:pPr>
        <w:pStyle w:val="Addressline"/>
      </w:pPr>
      <w:r w:rsidRPr="00D37313">
        <w:t xml:space="preserve">Submitted </w:t>
      </w:r>
      <w:r w:rsidR="007356F8" w:rsidRPr="00D37313">
        <w:t xml:space="preserve">via email - </w:t>
      </w:r>
      <w:hyperlink r:id="rId11" w:history="1">
        <w:r w:rsidR="00FB7EAD" w:rsidRPr="00D37313">
          <w:rPr>
            <w:rFonts w:ascii="Helvetica" w:hAnsi="Helvetica" w:cs="Helvetica"/>
            <w:color w:val="333333"/>
            <w:sz w:val="18"/>
            <w:szCs w:val="18"/>
            <w:u w:val="single"/>
            <w:bdr w:val="none" w:sz="0" w:space="0" w:color="auto" w:frame="1"/>
            <w:shd w:val="clear" w:color="auto" w:fill="F9F9F9"/>
          </w:rPr>
          <w:t>taxpublicconsultation@oecd.org</w:t>
        </w:r>
      </w:hyperlink>
      <w:r w:rsidR="00FB7EAD" w:rsidRPr="00D37313">
        <w:rPr>
          <w:rFonts w:asciiTheme="minorHAnsi" w:hAnsiTheme="minorHAnsi"/>
        </w:rPr>
        <w:t xml:space="preserve"> </w:t>
      </w:r>
    </w:p>
    <w:p w14:paraId="224C2085" w14:textId="77777777" w:rsidR="007546AD" w:rsidRPr="00D37313" w:rsidRDefault="007546AD" w:rsidP="00F9638C">
      <w:pPr>
        <w:pStyle w:val="Addressline"/>
      </w:pPr>
    </w:p>
    <w:p w14:paraId="7DAF1D54" w14:textId="4F2C53F4" w:rsidR="00890957" w:rsidRPr="002B2663" w:rsidRDefault="00AF2AA6" w:rsidP="00F9638C">
      <w:pPr>
        <w:pStyle w:val="Addressline"/>
        <w:rPr>
          <w:b/>
          <w:bCs/>
        </w:rPr>
      </w:pPr>
      <w:r>
        <w:rPr>
          <w:b/>
          <w:bCs/>
        </w:rPr>
        <w:t>6</w:t>
      </w:r>
      <w:r w:rsidR="002B2663" w:rsidRPr="002B2663">
        <w:rPr>
          <w:b/>
          <w:bCs/>
        </w:rPr>
        <w:t xml:space="preserve"> March</w:t>
      </w:r>
      <w:r w:rsidR="00890957" w:rsidRPr="002B2663">
        <w:rPr>
          <w:b/>
          <w:bCs/>
        </w:rPr>
        <w:t xml:space="preserve"> 2020</w:t>
      </w:r>
    </w:p>
    <w:bookmarkEnd w:id="0"/>
    <w:bookmarkEnd w:id="1"/>
    <w:p w14:paraId="24086448" w14:textId="337AE818" w:rsidR="007356F8" w:rsidRPr="00D37313" w:rsidRDefault="007546AD" w:rsidP="007356F8">
      <w:pPr>
        <w:pStyle w:val="Text"/>
        <w:rPr>
          <w:b/>
        </w:rPr>
      </w:pPr>
      <w:r w:rsidRPr="00D37313">
        <w:rPr>
          <w:b/>
        </w:rPr>
        <w:t xml:space="preserve">Subject: </w:t>
      </w:r>
      <w:r w:rsidR="007356F8" w:rsidRPr="00D37313">
        <w:rPr>
          <w:b/>
        </w:rPr>
        <w:t xml:space="preserve">OECD Public consultation – </w:t>
      </w:r>
      <w:r w:rsidR="00FB7EAD" w:rsidRPr="00D37313">
        <w:rPr>
          <w:b/>
        </w:rPr>
        <w:t>Review of Country-by-Country Reporting (BEPS Action 13)</w:t>
      </w:r>
    </w:p>
    <w:p w14:paraId="54196353" w14:textId="05C24DEC" w:rsidR="007546AD" w:rsidRPr="00D37313" w:rsidRDefault="007546AD" w:rsidP="00F9638C">
      <w:pPr>
        <w:pStyle w:val="Text"/>
      </w:pPr>
      <w:r w:rsidRPr="00D37313">
        <w:t xml:space="preserve">Dear </w:t>
      </w:r>
      <w:r w:rsidR="007356F8" w:rsidRPr="00D37313">
        <w:t>Mr. Bradbury</w:t>
      </w:r>
    </w:p>
    <w:p w14:paraId="73C5BD49" w14:textId="6EB6090F" w:rsidR="007356F8" w:rsidRPr="00D37313" w:rsidRDefault="408BA509" w:rsidP="408BA509">
      <w:pPr>
        <w:pStyle w:val="Text"/>
      </w:pPr>
      <w:r w:rsidRPr="00D37313">
        <w:t xml:space="preserve">Accountancy Europe thanks the OECD for the opportunity to provide its views </w:t>
      </w:r>
      <w:r w:rsidR="002B2663">
        <w:t>on</w:t>
      </w:r>
      <w:r w:rsidR="00FB7EAD" w:rsidRPr="00D37313">
        <w:t xml:space="preserve"> Country by Country Reporting </w:t>
      </w:r>
      <w:r w:rsidR="001F7B0E">
        <w:t>(</w:t>
      </w:r>
      <w:proofErr w:type="spellStart"/>
      <w:r w:rsidR="001F7B0E">
        <w:t>cbc</w:t>
      </w:r>
      <w:proofErr w:type="spellEnd"/>
      <w:r w:rsidR="001F7B0E">
        <w:t xml:space="preserve"> reporting) </w:t>
      </w:r>
      <w:r w:rsidR="00FB7EAD" w:rsidRPr="00D37313">
        <w:t>under BEPS Action 13</w:t>
      </w:r>
      <w:r w:rsidRPr="00D37313">
        <w:t xml:space="preserve">. Please find below Accountancy Europe’s comments on the issues raised in </w:t>
      </w:r>
      <w:r w:rsidR="4A2A31E7" w:rsidRPr="00D37313">
        <w:t>the</w:t>
      </w:r>
      <w:r w:rsidRPr="00D37313">
        <w:t xml:space="preserve"> consultation</w:t>
      </w:r>
      <w:r w:rsidR="4A2A31E7" w:rsidRPr="00D37313">
        <w:t>, and, where possible, to the direct questions asked</w:t>
      </w:r>
      <w:r w:rsidRPr="00D37313">
        <w:t>.</w:t>
      </w:r>
    </w:p>
    <w:p w14:paraId="2D87848C" w14:textId="0FD37DEE" w:rsidR="00890957" w:rsidRPr="00D37313" w:rsidRDefault="00890957" w:rsidP="4439277D">
      <w:pPr>
        <w:pStyle w:val="Text"/>
      </w:pPr>
      <w:r w:rsidRPr="00D37313">
        <w:t>Overall, in our opinion, insufficient time has elapsed since the inception of BEPS Action 13 to truly assess its success and what the critical areas for improvement</w:t>
      </w:r>
      <w:r w:rsidR="002A18B6">
        <w:t xml:space="preserve"> may be</w:t>
      </w:r>
      <w:r w:rsidRPr="00D37313">
        <w:t>. Significant changes to BEPS Action 13 should only be made after thorough fact</w:t>
      </w:r>
      <w:r w:rsidR="002B2663">
        <w:t>-</w:t>
      </w:r>
      <w:r w:rsidRPr="00D37313">
        <w:t>finding and research.</w:t>
      </w:r>
    </w:p>
    <w:p w14:paraId="3E896D71" w14:textId="697EEE66" w:rsidR="002B2663" w:rsidRDefault="00890957" w:rsidP="002B2663">
      <w:pPr>
        <w:pStyle w:val="Text"/>
      </w:pPr>
      <w:r w:rsidRPr="00D37313">
        <w:t>However, there are undoubtedly non-</w:t>
      </w:r>
      <w:r w:rsidR="00F724BE" w:rsidRPr="00D37313">
        <w:t>fundamental</w:t>
      </w:r>
      <w:r w:rsidRPr="00D37313">
        <w:t xml:space="preserve"> changes that could be made </w:t>
      </w:r>
      <w:r w:rsidR="002B2663">
        <w:t>to</w:t>
      </w:r>
      <w:r w:rsidR="00F724BE" w:rsidRPr="00D37313">
        <w:t xml:space="preserve"> improve the effectiveness and efficiency of </w:t>
      </w:r>
      <w:proofErr w:type="spellStart"/>
      <w:r w:rsidR="00F724BE" w:rsidRPr="00D37313">
        <w:t>cbc</w:t>
      </w:r>
      <w:proofErr w:type="spellEnd"/>
      <w:r w:rsidR="00F724BE" w:rsidRPr="00D37313">
        <w:t xml:space="preserve"> reporting. One such change would be moving to a multi-year approach to determine whether a group exceeds the consolidated group revenue threshold. If properly designed, this could be effective in dealing with many of the issues arising from, for example, currency fluctuations </w:t>
      </w:r>
      <w:r w:rsidR="002B2663">
        <w:t>(</w:t>
      </w:r>
      <w:r w:rsidR="00F724BE" w:rsidRPr="00D37313">
        <w:t>where a jurisdiction’s threshold is not euro denominated</w:t>
      </w:r>
      <w:r w:rsidR="002B2663">
        <w:t>)</w:t>
      </w:r>
      <w:r w:rsidR="00F724BE" w:rsidRPr="00D37313">
        <w:t xml:space="preserve"> and exceptional\extraordinary items.</w:t>
      </w:r>
      <w:r w:rsidR="002B2663" w:rsidRPr="002B2663">
        <w:t xml:space="preserve"> </w:t>
      </w:r>
    </w:p>
    <w:p w14:paraId="7D7DCF3F" w14:textId="7C3DB071" w:rsidR="002B2663" w:rsidRPr="00D37313" w:rsidRDefault="002B2663" w:rsidP="002B2663">
      <w:pPr>
        <w:pStyle w:val="Text"/>
      </w:pPr>
      <w:r w:rsidRPr="00D37313">
        <w:t xml:space="preserve">Due to </w:t>
      </w:r>
      <w:r w:rsidR="0069633C">
        <w:t>the</w:t>
      </w:r>
      <w:r w:rsidRPr="00D37313">
        <w:t xml:space="preserve"> short response period, we have had insufficient time to seriously consider the </w:t>
      </w:r>
      <w:r>
        <w:t xml:space="preserve">numerous </w:t>
      </w:r>
      <w:r w:rsidR="62818C10">
        <w:t>specific</w:t>
      </w:r>
      <w:r>
        <w:t xml:space="preserve"> </w:t>
      </w:r>
      <w:r w:rsidRPr="00D37313">
        <w:t xml:space="preserve">questions in respect of </w:t>
      </w:r>
      <w:r w:rsidR="00D030D8">
        <w:t>‘</w:t>
      </w:r>
      <w:r w:rsidRPr="002B2663">
        <w:rPr>
          <w:i/>
          <w:iCs/>
        </w:rPr>
        <w:t>identifying advantages and challenges for the proposals over than those that have already been noted in the document</w:t>
      </w:r>
      <w:r w:rsidR="00D030D8">
        <w:rPr>
          <w:i/>
          <w:iCs/>
        </w:rPr>
        <w:t>’</w:t>
      </w:r>
      <w:r w:rsidRPr="00D37313">
        <w:t xml:space="preserve">. Whilst we accept that a short deadline for consultation responses can be justified in cases where the topic is particularly urgent, such as with the Pillar One and Two consultations, </w:t>
      </w:r>
      <w:r w:rsidR="00D030D8">
        <w:t>the</w:t>
      </w:r>
      <w:r w:rsidR="00D030D8" w:rsidRPr="00D37313">
        <w:t xml:space="preserve"> </w:t>
      </w:r>
      <w:r w:rsidRPr="00D37313">
        <w:t>one</w:t>
      </w:r>
      <w:r>
        <w:t>-</w:t>
      </w:r>
      <w:r w:rsidRPr="00D37313">
        <w:t xml:space="preserve">month deadline for this consultation </w:t>
      </w:r>
      <w:r w:rsidR="002A18B6">
        <w:t xml:space="preserve">is too short for a stakeholder organisation such as Accountancy Europe to obtain input from its a broad and diverse membership. </w:t>
      </w:r>
      <w:r w:rsidR="1355F03D">
        <w:t>Consequently, with the exception of specific questions 1 to 3, we have concentrated on giving our views on the broader questions.</w:t>
      </w:r>
    </w:p>
    <w:p w14:paraId="70CAFA63" w14:textId="5E84969A" w:rsidR="00890957" w:rsidRPr="00D37313" w:rsidRDefault="00890957" w:rsidP="4439277D">
      <w:pPr>
        <w:pStyle w:val="Text"/>
      </w:pPr>
    </w:p>
    <w:p w14:paraId="16792E1B" w14:textId="61959F2D" w:rsidR="007356F8" w:rsidRPr="00D37313" w:rsidRDefault="00FB7EAD" w:rsidP="008E2E72">
      <w:pPr>
        <w:pStyle w:val="HeadingToC"/>
        <w:rPr>
          <w:rFonts w:ascii="HelveticaNeueLT Std" w:eastAsia="HelveticaNeueLT Std" w:hAnsi="HelveticaNeueLT Std"/>
        </w:rPr>
      </w:pPr>
      <w:bookmarkStart w:id="3" w:name="_Hlk2154163"/>
      <w:r w:rsidRPr="00D37313">
        <w:lastRenderedPageBreak/>
        <w:t>Chapter</w:t>
      </w:r>
      <w:r w:rsidR="007356F8" w:rsidRPr="00D37313">
        <w:t xml:space="preserve"> one – </w:t>
      </w:r>
      <w:r w:rsidRPr="00D37313">
        <w:t>Implementation and operation of BEPS Action 13</w:t>
      </w:r>
    </w:p>
    <w:bookmarkEnd w:id="3"/>
    <w:p w14:paraId="1FB69146" w14:textId="703A129A" w:rsidR="001D509A" w:rsidRPr="00D37313" w:rsidRDefault="001D509A" w:rsidP="008E2E72">
      <w:pPr>
        <w:pStyle w:val="Heading2"/>
        <w:numPr>
          <w:ilvl w:val="0"/>
          <w:numId w:val="39"/>
        </w:numPr>
        <w:ind w:left="567" w:hanging="567"/>
        <w:rPr>
          <w:rFonts w:eastAsia="MS Gothic"/>
          <w:lang w:val="en-GB"/>
        </w:rPr>
      </w:pPr>
      <w:r w:rsidRPr="00D37313">
        <w:rPr>
          <w:rFonts w:eastAsia="MS Gothic"/>
          <w:lang w:val="en-GB"/>
        </w:rPr>
        <w:t>Implementation of the BEPS Action 13 minimum standard</w:t>
      </w:r>
    </w:p>
    <w:p w14:paraId="4C66721C" w14:textId="218AA4FB" w:rsidR="007356F8" w:rsidRPr="00D37313" w:rsidRDefault="00D33177" w:rsidP="008E2E72">
      <w:pPr>
        <w:pStyle w:val="Heading3"/>
        <w:rPr>
          <w:rFonts w:eastAsia="HelveticaNeueLT Std"/>
        </w:rPr>
      </w:pPr>
      <w:r>
        <w:rPr>
          <w:rFonts w:eastAsia="HelveticaNeueLT Std"/>
        </w:rPr>
        <w:t xml:space="preserve">Specific </w:t>
      </w:r>
      <w:r w:rsidR="008E2E72" w:rsidRPr="00D37313">
        <w:rPr>
          <w:rFonts w:eastAsia="HelveticaNeueLT Std"/>
        </w:rPr>
        <w:t>Question 1</w:t>
      </w:r>
      <w:r w:rsidR="408BA509" w:rsidRPr="00D37313">
        <w:rPr>
          <w:rFonts w:eastAsia="HelveticaNeueLT Std"/>
        </w:rPr>
        <w:t>.</w:t>
      </w:r>
    </w:p>
    <w:p w14:paraId="12337D36" w14:textId="2F053717" w:rsidR="008E2E72" w:rsidRPr="00D37313" w:rsidRDefault="00F724BE" w:rsidP="408BA509">
      <w:pPr>
        <w:spacing w:before="200"/>
        <w:jc w:val="both"/>
        <w:rPr>
          <w:rFonts w:ascii="HelveticaNeueLT Std" w:eastAsia="HelveticaNeueLT Std" w:hAnsi="HelveticaNeueLT Std" w:cs="Times New Roman"/>
        </w:rPr>
      </w:pPr>
      <w:r w:rsidRPr="00D37313">
        <w:rPr>
          <w:rFonts w:ascii="HelveticaNeueLT Std" w:eastAsia="HelveticaNeueLT Std" w:hAnsi="HelveticaNeueLT Std" w:cs="Times New Roman"/>
        </w:rPr>
        <w:t xml:space="preserve">We believe that it is too early to accurately gauge the general implementation status of Action 13 – particularly as some of the jurisdictions in the Inclusive Framework have only recently implemented the minimum standards. Consequently, it is too early to make significant changes to the provisions until more </w:t>
      </w:r>
      <w:r w:rsidR="004F0CA0" w:rsidRPr="00D37313">
        <w:rPr>
          <w:rFonts w:ascii="HelveticaNeueLT Std" w:eastAsia="HelveticaNeueLT Std" w:hAnsi="HelveticaNeueLT Std" w:cs="Times New Roman"/>
        </w:rPr>
        <w:t xml:space="preserve">practical </w:t>
      </w:r>
      <w:r w:rsidRPr="00D37313">
        <w:rPr>
          <w:rFonts w:ascii="HelveticaNeueLT Std" w:eastAsia="HelveticaNeueLT Std" w:hAnsi="HelveticaNeueLT Std" w:cs="Times New Roman"/>
        </w:rPr>
        <w:t>experience and data is available.</w:t>
      </w:r>
    </w:p>
    <w:p w14:paraId="404AB35E" w14:textId="08056AB1" w:rsidR="00A5081F" w:rsidRPr="00D37313" w:rsidRDefault="00A5081F" w:rsidP="408BA509">
      <w:pPr>
        <w:spacing w:before="200"/>
        <w:jc w:val="both"/>
        <w:rPr>
          <w:rFonts w:ascii="HelveticaNeueLT Std" w:eastAsia="HelveticaNeueLT Std" w:hAnsi="HelveticaNeueLT Std" w:cs="Times New Roman"/>
        </w:rPr>
      </w:pPr>
      <w:r w:rsidRPr="00D37313">
        <w:rPr>
          <w:rFonts w:ascii="HelveticaNeueLT Std" w:eastAsia="HelveticaNeueLT Std" w:hAnsi="HelveticaNeueLT Std" w:cs="Times New Roman"/>
        </w:rPr>
        <w:t>However, our constituents have identified certain issues in practice, particularly relating to rebasing the threshold and divergences in national master files, which are described below</w:t>
      </w:r>
      <w:r w:rsidR="004F0CA0" w:rsidRPr="00D37313">
        <w:rPr>
          <w:rFonts w:ascii="HelveticaNeueLT Std" w:eastAsia="HelveticaNeueLT Std" w:hAnsi="HelveticaNeueLT Std" w:cs="Times New Roman"/>
        </w:rPr>
        <w:t>.</w:t>
      </w:r>
    </w:p>
    <w:p w14:paraId="6ED688F4" w14:textId="26D45D94" w:rsidR="008E2E72" w:rsidRPr="00D37313" w:rsidRDefault="008E2E72" w:rsidP="008E2E72">
      <w:pPr>
        <w:pStyle w:val="Heading2"/>
        <w:numPr>
          <w:ilvl w:val="0"/>
          <w:numId w:val="39"/>
        </w:numPr>
        <w:ind w:left="567" w:hanging="567"/>
        <w:rPr>
          <w:rFonts w:eastAsia="MS Gothic"/>
          <w:lang w:val="en-GB"/>
        </w:rPr>
      </w:pPr>
      <w:r w:rsidRPr="00D37313">
        <w:rPr>
          <w:rFonts w:eastAsia="MS Gothic"/>
          <w:lang w:val="en-GB"/>
        </w:rPr>
        <w:t xml:space="preserve">The appropriate and effective use of </w:t>
      </w:r>
      <w:proofErr w:type="spellStart"/>
      <w:r w:rsidRPr="00D37313">
        <w:rPr>
          <w:rFonts w:eastAsia="MS Gothic"/>
          <w:lang w:val="en-GB"/>
        </w:rPr>
        <w:t>CbC</w:t>
      </w:r>
      <w:proofErr w:type="spellEnd"/>
      <w:r w:rsidRPr="00D37313">
        <w:rPr>
          <w:rFonts w:eastAsia="MS Gothic"/>
          <w:lang w:val="en-GB"/>
        </w:rPr>
        <w:t xml:space="preserve"> reports</w:t>
      </w:r>
    </w:p>
    <w:p w14:paraId="3C16B029" w14:textId="468F513A" w:rsidR="008E2E72" w:rsidRPr="00D37313" w:rsidRDefault="00D33177" w:rsidP="008E2E72">
      <w:pPr>
        <w:pStyle w:val="Heading3"/>
        <w:rPr>
          <w:rFonts w:eastAsia="HelveticaNeueLT Std"/>
        </w:rPr>
      </w:pPr>
      <w:bookmarkStart w:id="4" w:name="_Hlk33777109"/>
      <w:r>
        <w:rPr>
          <w:rFonts w:eastAsia="HelveticaNeueLT Std"/>
        </w:rPr>
        <w:t xml:space="preserve">SPECIFIC </w:t>
      </w:r>
      <w:r w:rsidR="008E2E72" w:rsidRPr="00D37313">
        <w:rPr>
          <w:rFonts w:eastAsia="HelveticaNeueLT Std"/>
        </w:rPr>
        <w:t>QUESTION 2.</w:t>
      </w:r>
    </w:p>
    <w:bookmarkEnd w:id="4"/>
    <w:p w14:paraId="770ED208" w14:textId="2AD80915" w:rsidR="008E2E72" w:rsidRPr="00D37313" w:rsidRDefault="004F0CA0" w:rsidP="008E2E72">
      <w:pPr>
        <w:pStyle w:val="Text"/>
      </w:pPr>
      <w:r w:rsidRPr="00D37313">
        <w:t xml:space="preserve">Our constituents have reported that very few cases under the new </w:t>
      </w:r>
      <w:proofErr w:type="spellStart"/>
      <w:r w:rsidRPr="00D37313">
        <w:t>cbc</w:t>
      </w:r>
      <w:proofErr w:type="spellEnd"/>
      <w:r w:rsidRPr="00D37313">
        <w:t xml:space="preserve"> reporting rules have come to </w:t>
      </w:r>
      <w:r w:rsidR="002B2663" w:rsidRPr="00D37313">
        <w:t>audit,</w:t>
      </w:r>
      <w:r w:rsidRPr="00D37313">
        <w:t xml:space="preserve"> so it is very difficult to gauge how the reports are being used by tax authorities and how this is influencing their traditional audit approach.</w:t>
      </w:r>
    </w:p>
    <w:p w14:paraId="111F2508" w14:textId="31415A72" w:rsidR="6CAC70DB" w:rsidRPr="00D35A65" w:rsidRDefault="00D35A65" w:rsidP="00D35A65">
      <w:pPr>
        <w:spacing w:line="257" w:lineRule="auto"/>
        <w:jc w:val="both"/>
      </w:pPr>
      <w:r w:rsidRPr="00D35A65">
        <w:t xml:space="preserve">Nevertheless, </w:t>
      </w:r>
      <w:r w:rsidR="6CAC70DB" w:rsidRPr="22454FF1">
        <w:t xml:space="preserve">we have received some indications that </w:t>
      </w:r>
      <w:r w:rsidR="6CAC70DB" w:rsidRPr="00D35A65">
        <w:t>transfer pricing audits are considerabl</w:t>
      </w:r>
      <w:r w:rsidR="6CAC70DB" w:rsidRPr="22454FF1">
        <w:t>y</w:t>
      </w:r>
      <w:r w:rsidR="6CAC70DB" w:rsidRPr="00D35A65">
        <w:t xml:space="preserve"> more focussed due to the risk analysis done by the tax authorities of the information provided by MNEs under </w:t>
      </w:r>
      <w:proofErr w:type="spellStart"/>
      <w:r w:rsidR="6CAC70DB" w:rsidRPr="22454FF1">
        <w:t>cbc</w:t>
      </w:r>
      <w:proofErr w:type="spellEnd"/>
      <w:r w:rsidR="6CAC70DB" w:rsidRPr="22454FF1">
        <w:t xml:space="preserve"> </w:t>
      </w:r>
      <w:r w:rsidR="6CAC70DB" w:rsidRPr="00D35A65">
        <w:t>reports.</w:t>
      </w:r>
    </w:p>
    <w:p w14:paraId="455E70A0" w14:textId="77777777" w:rsidR="008E2E72" w:rsidRPr="00D37313" w:rsidRDefault="008E2E72" w:rsidP="008E2E72">
      <w:pPr>
        <w:pStyle w:val="Heading2"/>
        <w:numPr>
          <w:ilvl w:val="0"/>
          <w:numId w:val="39"/>
        </w:numPr>
        <w:ind w:left="567" w:hanging="567"/>
        <w:rPr>
          <w:rFonts w:eastAsia="MS Gothic"/>
          <w:lang w:val="en-GB"/>
        </w:rPr>
      </w:pPr>
      <w:r w:rsidRPr="00D37313">
        <w:rPr>
          <w:rFonts w:eastAsia="MS Gothic"/>
          <w:lang w:val="en-GB"/>
        </w:rPr>
        <w:t>Other elements of the BEPS Action 13 report</w:t>
      </w:r>
    </w:p>
    <w:p w14:paraId="344837EF" w14:textId="6E9995C4" w:rsidR="008E2E72" w:rsidRPr="00D37313" w:rsidRDefault="00D33177" w:rsidP="008E2E72">
      <w:pPr>
        <w:pStyle w:val="Heading3"/>
        <w:rPr>
          <w:rFonts w:eastAsia="HelveticaNeueLT Std"/>
        </w:rPr>
      </w:pPr>
      <w:bookmarkStart w:id="5" w:name="_Hlk33777220"/>
      <w:r>
        <w:rPr>
          <w:rFonts w:eastAsia="HelveticaNeueLT Std"/>
        </w:rPr>
        <w:t xml:space="preserve">SPECIFIC </w:t>
      </w:r>
      <w:r w:rsidR="008E2E72" w:rsidRPr="00D37313">
        <w:rPr>
          <w:rFonts w:eastAsia="HelveticaNeueLT Std"/>
        </w:rPr>
        <w:t>QUESTION 3.</w:t>
      </w:r>
    </w:p>
    <w:bookmarkEnd w:id="5"/>
    <w:p w14:paraId="25EB3C2A" w14:textId="3CE14212" w:rsidR="008E2E72" w:rsidRPr="00D37313" w:rsidRDefault="004A1145" w:rsidP="008E2E72">
      <w:pPr>
        <w:pStyle w:val="Text"/>
      </w:pPr>
      <w:r w:rsidRPr="00D37313">
        <w:t>Some significant divergences in national master file requirements have been noted. For example, Australia has been identified as a country that has imposed significant additional reporting requirements in its master file</w:t>
      </w:r>
      <w:r w:rsidR="002B2663">
        <w:t>,</w:t>
      </w:r>
      <w:r w:rsidRPr="00D37313">
        <w:t xml:space="preserve"> which causes a sign additional burden on MNEs with subsidiaries based there. </w:t>
      </w:r>
    </w:p>
    <w:p w14:paraId="07BE5BCB" w14:textId="4871276E" w:rsidR="004A1145" w:rsidRDefault="004A1145" w:rsidP="008E2E72">
      <w:pPr>
        <w:pStyle w:val="Text"/>
      </w:pPr>
      <w:r w:rsidRPr="00D37313">
        <w:t xml:space="preserve">National tax authorities should not habitually change master file requirements in excess of the documents listed in Annex I to Chapter V of the OECD Transfer Pricing Guidelines. Where there </w:t>
      </w:r>
      <w:r w:rsidR="00342CED">
        <w:t xml:space="preserve">is </w:t>
      </w:r>
      <w:r w:rsidR="002A18B6">
        <w:t xml:space="preserve">believed </w:t>
      </w:r>
      <w:r w:rsidR="002A18B6" w:rsidRPr="00D37313">
        <w:t>to</w:t>
      </w:r>
      <w:r w:rsidRPr="00D37313">
        <w:t xml:space="preserve"> be a pressing need for additional documentation</w:t>
      </w:r>
      <w:r w:rsidR="002C3FE0">
        <w:t>,</w:t>
      </w:r>
      <w:r w:rsidRPr="00D37313">
        <w:t xml:space="preserve"> it should be considered whether Annex I </w:t>
      </w:r>
      <w:r w:rsidR="000067C7" w:rsidRPr="00D37313">
        <w:t>should be revised to ensure consistency of application between jurisdictions.</w:t>
      </w:r>
    </w:p>
    <w:p w14:paraId="38027D94" w14:textId="52986FB4" w:rsidR="002A18B6" w:rsidRDefault="002A18B6">
      <w:pPr>
        <w:spacing w:after="160" w:line="259" w:lineRule="auto"/>
        <w:rPr>
          <w:rFonts w:ascii="HelveticaNeueLT Std" w:hAnsi="HelveticaNeueLT Std"/>
        </w:rPr>
      </w:pPr>
      <w:r>
        <w:br w:type="page"/>
      </w:r>
    </w:p>
    <w:p w14:paraId="206243C7" w14:textId="563BE1FA" w:rsidR="007356F8" w:rsidRPr="00D37313" w:rsidRDefault="00FB7EAD" w:rsidP="008E2E72">
      <w:pPr>
        <w:pStyle w:val="HeadingToC"/>
      </w:pPr>
      <w:r w:rsidRPr="00D37313">
        <w:lastRenderedPageBreak/>
        <w:t>CHAPTER</w:t>
      </w:r>
      <w:r w:rsidR="007356F8" w:rsidRPr="00D37313">
        <w:t xml:space="preserve"> Two – </w:t>
      </w:r>
      <w:r w:rsidRPr="00D37313">
        <w:t>SCOPE OF CBC REPORTING</w:t>
      </w:r>
    </w:p>
    <w:p w14:paraId="6A65A88A" w14:textId="4901A7E2" w:rsidR="00FB7EAD" w:rsidRPr="00D37313" w:rsidRDefault="008E2E72" w:rsidP="008E2E72">
      <w:pPr>
        <w:pStyle w:val="Heading2"/>
        <w:numPr>
          <w:ilvl w:val="0"/>
          <w:numId w:val="39"/>
        </w:numPr>
        <w:ind w:left="567" w:hanging="567"/>
        <w:rPr>
          <w:rFonts w:eastAsia="MS Gothic"/>
          <w:lang w:val="en-GB"/>
        </w:rPr>
      </w:pPr>
      <w:r w:rsidRPr="00D37313">
        <w:rPr>
          <w:rFonts w:eastAsia="MS Gothic"/>
          <w:lang w:val="en-GB"/>
        </w:rPr>
        <w:t xml:space="preserve">Should a single enterprise with one or more foreign permanent establishments be a Group for the purposes of </w:t>
      </w:r>
      <w:proofErr w:type="spellStart"/>
      <w:r w:rsidRPr="00D37313">
        <w:rPr>
          <w:rFonts w:eastAsia="MS Gothic"/>
          <w:lang w:val="en-GB"/>
        </w:rPr>
        <w:t>CbC</w:t>
      </w:r>
      <w:proofErr w:type="spellEnd"/>
      <w:r w:rsidRPr="00D37313">
        <w:rPr>
          <w:rFonts w:eastAsia="MS Gothic"/>
          <w:lang w:val="en-GB"/>
        </w:rPr>
        <w:t xml:space="preserve"> reporting?</w:t>
      </w:r>
    </w:p>
    <w:p w14:paraId="209A8511" w14:textId="2C13F90C" w:rsidR="005D7095" w:rsidRPr="00D37313" w:rsidRDefault="005D7095" w:rsidP="005D7095">
      <w:pPr>
        <w:pStyle w:val="Text"/>
      </w:pPr>
      <w:r w:rsidRPr="00D37313">
        <w:t>In principle, we believe that BEPS Action 13 should apply to MNEs that exceed the threshold irrespective of how their overseas operations are structured. Consequently, where an MNE operates through branches rather than subsidiaries</w:t>
      </w:r>
      <w:r w:rsidR="00915D2F" w:rsidRPr="00D37313">
        <w:t xml:space="preserve">, as is common in the financial </w:t>
      </w:r>
      <w:r w:rsidR="6AA4D4E7">
        <w:t xml:space="preserve">services </w:t>
      </w:r>
      <w:r w:rsidR="00915D2F" w:rsidRPr="00D37313">
        <w:t>industry,</w:t>
      </w:r>
      <w:r w:rsidRPr="00D37313">
        <w:t xml:space="preserve"> there is no conceptual reason why these groups should be excluded.</w:t>
      </w:r>
    </w:p>
    <w:p w14:paraId="4154BE70" w14:textId="3C66EA91" w:rsidR="008E2E72" w:rsidRPr="00D37313" w:rsidRDefault="005D7095" w:rsidP="008E2E72">
      <w:pPr>
        <w:pStyle w:val="Text"/>
      </w:pPr>
      <w:r w:rsidRPr="00D37313">
        <w:t xml:space="preserve">However, there are practical issues </w:t>
      </w:r>
      <w:r w:rsidR="002C3FE0">
        <w:t xml:space="preserve">in including </w:t>
      </w:r>
      <w:r w:rsidR="001E746D" w:rsidRPr="00D37313">
        <w:t>such ‘grou</w:t>
      </w:r>
      <w:r w:rsidR="00915D2F" w:rsidRPr="00D37313">
        <w:t xml:space="preserve">ps’ under the aegis of BEPS 13. Although tax reporting information for permanent establishments would </w:t>
      </w:r>
      <w:r w:rsidR="63FB1415">
        <w:t xml:space="preserve">normally </w:t>
      </w:r>
      <w:r w:rsidR="00915D2F" w:rsidRPr="00D37313">
        <w:t>be available</w:t>
      </w:r>
      <w:r w:rsidR="002C3FE0">
        <w:t>,</w:t>
      </w:r>
      <w:r w:rsidR="00915D2F" w:rsidRPr="00D37313">
        <w:t xml:space="preserve"> it may not be the case that full financial statements would be available for </w:t>
      </w:r>
      <w:r w:rsidR="67115149">
        <w:t>each establishment</w:t>
      </w:r>
      <w:r w:rsidR="22833FF7">
        <w:t xml:space="preserve">. </w:t>
      </w:r>
      <w:r w:rsidR="00915D2F" w:rsidRPr="00D37313">
        <w:t xml:space="preserve"> </w:t>
      </w:r>
    </w:p>
    <w:p w14:paraId="357DC255" w14:textId="7FEF3E96" w:rsidR="008E2E72" w:rsidRPr="00D37313" w:rsidRDefault="00915D2F" w:rsidP="008E2E72">
      <w:pPr>
        <w:pStyle w:val="Text"/>
      </w:pPr>
      <w:r w:rsidRPr="00D37313">
        <w:t xml:space="preserve">As in all cases, it should be considered whether the scale of the perceived issue is sufficient justification for complicating the rules for </w:t>
      </w:r>
      <w:r w:rsidR="002C3FE0">
        <w:t>all,</w:t>
      </w:r>
      <w:r w:rsidRPr="00D37313">
        <w:t xml:space="preserve"> or whether the specific problem </w:t>
      </w:r>
      <w:r w:rsidR="14D6B5BE">
        <w:t>of fixed establishments and profit allocation</w:t>
      </w:r>
      <w:r w:rsidR="22833FF7">
        <w:t xml:space="preserve"> </w:t>
      </w:r>
      <w:r w:rsidRPr="00D37313">
        <w:t>could be dealt with in another fashion.</w:t>
      </w:r>
    </w:p>
    <w:p w14:paraId="1370C3E4" w14:textId="52B576C9" w:rsidR="008E2E72" w:rsidRPr="00D37313" w:rsidRDefault="008E2E72" w:rsidP="008E2E72">
      <w:pPr>
        <w:pStyle w:val="Heading2"/>
        <w:numPr>
          <w:ilvl w:val="0"/>
          <w:numId w:val="39"/>
        </w:numPr>
        <w:ind w:left="567" w:hanging="567"/>
        <w:rPr>
          <w:rFonts w:eastAsia="MS Gothic"/>
          <w:lang w:val="en-GB"/>
        </w:rPr>
      </w:pPr>
      <w:r w:rsidRPr="00D37313">
        <w:rPr>
          <w:rFonts w:eastAsia="MS Gothic"/>
          <w:lang w:val="en-GB"/>
        </w:rPr>
        <w:t xml:space="preserve">Should separate </w:t>
      </w:r>
      <w:proofErr w:type="spellStart"/>
      <w:r w:rsidRPr="00D37313">
        <w:rPr>
          <w:rFonts w:eastAsia="MS Gothic"/>
          <w:lang w:val="en-GB"/>
        </w:rPr>
        <w:t>CbC</w:t>
      </w:r>
      <w:proofErr w:type="spellEnd"/>
      <w:r w:rsidRPr="00D37313">
        <w:rPr>
          <w:rFonts w:eastAsia="MS Gothic"/>
          <w:lang w:val="en-GB"/>
        </w:rPr>
        <w:t xml:space="preserve"> reports be prepared by groups that are under common control and which in aggregate have consolidated group revenue above the </w:t>
      </w:r>
      <w:proofErr w:type="spellStart"/>
      <w:r w:rsidRPr="00D37313">
        <w:rPr>
          <w:rFonts w:eastAsia="MS Gothic"/>
          <w:lang w:val="en-GB"/>
        </w:rPr>
        <w:t>CbC</w:t>
      </w:r>
      <w:proofErr w:type="spellEnd"/>
      <w:r w:rsidRPr="00D37313">
        <w:rPr>
          <w:rFonts w:eastAsia="MS Gothic"/>
          <w:lang w:val="en-GB"/>
        </w:rPr>
        <w:t xml:space="preserve"> reporting threshold?</w:t>
      </w:r>
    </w:p>
    <w:p w14:paraId="433E25C6" w14:textId="534183A2" w:rsidR="008E2E72" w:rsidRPr="00D37313" w:rsidRDefault="00915D2F" w:rsidP="008E2E72">
      <w:pPr>
        <w:pStyle w:val="Text"/>
      </w:pPr>
      <w:bookmarkStart w:id="6" w:name="_Hlk34035112"/>
      <w:r w:rsidRPr="00D37313">
        <w:t xml:space="preserve">As with 4. </w:t>
      </w:r>
      <w:r w:rsidR="002C3FE0">
        <w:t>a</w:t>
      </w:r>
      <w:r w:rsidRPr="00D37313">
        <w:t>bove, i</w:t>
      </w:r>
      <w:r w:rsidR="005D7095" w:rsidRPr="00D37313">
        <w:t xml:space="preserve">n principle, we believe that BEPS Action 13 should apply to MNEs that exceed the threshold irrespective of how their overseas operations are structured. Consequently, </w:t>
      </w:r>
      <w:r w:rsidRPr="00D37313">
        <w:t xml:space="preserve">‘groups’ under common ownership </w:t>
      </w:r>
      <w:r w:rsidR="009C33E8" w:rsidRPr="00D37313">
        <w:t xml:space="preserve">should be included if their </w:t>
      </w:r>
      <w:r w:rsidR="3B893AFC">
        <w:t>combined turnover</w:t>
      </w:r>
      <w:r w:rsidR="009C33E8" w:rsidRPr="00D37313">
        <w:t xml:space="preserve"> would exceed the reporting threshold.</w:t>
      </w:r>
    </w:p>
    <w:bookmarkEnd w:id="6"/>
    <w:p w14:paraId="0AD2D6FB" w14:textId="689B4B79" w:rsidR="009C33E8" w:rsidRPr="00D37313" w:rsidRDefault="009C33E8" w:rsidP="008E2E72">
      <w:pPr>
        <w:pStyle w:val="Text"/>
      </w:pPr>
      <w:r w:rsidRPr="00D37313">
        <w:t xml:space="preserve">However, there are probably even more practical issues with doing this </w:t>
      </w:r>
      <w:r w:rsidR="00537226">
        <w:t xml:space="preserve">for groups under common control </w:t>
      </w:r>
      <w:r w:rsidRPr="00D37313">
        <w:t>than with including organisations operating through PEs</w:t>
      </w:r>
      <w:r w:rsidR="00537226">
        <w:t xml:space="preserve"> -</w:t>
      </w:r>
      <w:r w:rsidRPr="00D37313">
        <w:t xml:space="preserve"> particularly as </w:t>
      </w:r>
      <w:r w:rsidR="248CC7A7">
        <w:t xml:space="preserve">accounting and tax </w:t>
      </w:r>
      <w:r w:rsidRPr="00D37313">
        <w:t xml:space="preserve">rules related to </w:t>
      </w:r>
      <w:r w:rsidR="3BBD5BE2">
        <w:t>consolidating</w:t>
      </w:r>
      <w:r w:rsidRPr="00D37313">
        <w:t xml:space="preserve"> entities under common control differ from country to country.</w:t>
      </w:r>
    </w:p>
    <w:p w14:paraId="13F7B867" w14:textId="38D1EB67" w:rsidR="008E2E72" w:rsidRPr="00D37313" w:rsidRDefault="009C33E8" w:rsidP="008E2E72">
      <w:pPr>
        <w:pStyle w:val="Text"/>
      </w:pPr>
      <w:r w:rsidRPr="00D37313">
        <w:t>In some cases</w:t>
      </w:r>
      <w:r w:rsidR="74D195AA">
        <w:t>,</w:t>
      </w:r>
      <w:r w:rsidRPr="00D37313">
        <w:t xml:space="preserve"> it may be obvious that the entities are under common control but in others </w:t>
      </w:r>
      <w:r w:rsidR="77ED01AC">
        <w:t>it</w:t>
      </w:r>
      <w:r w:rsidRPr="00D37313">
        <w:t xml:space="preserve"> may be very difficult to ascertain</w:t>
      </w:r>
      <w:r w:rsidR="00537226">
        <w:t xml:space="preserve">. The </w:t>
      </w:r>
      <w:r w:rsidRPr="00D37313">
        <w:t xml:space="preserve">pool of shareholders </w:t>
      </w:r>
      <w:r w:rsidR="00537226">
        <w:t xml:space="preserve">and senior management </w:t>
      </w:r>
      <w:r w:rsidRPr="00D37313">
        <w:t>could be quite different</w:t>
      </w:r>
      <w:r w:rsidR="74D195AA">
        <w:t>,</w:t>
      </w:r>
      <w:r w:rsidRPr="00D37313">
        <w:t xml:space="preserve"> and it could be a difficult process to establish common control in these circumstances – particular</w:t>
      </w:r>
      <w:r w:rsidR="00537226">
        <w:t>ly</w:t>
      </w:r>
      <w:r w:rsidRPr="00D37313">
        <w:t xml:space="preserve"> when the groups in question are established in different jurisdictions and potentially </w:t>
      </w:r>
      <w:r w:rsidR="00537226">
        <w:t>using</w:t>
      </w:r>
      <w:r w:rsidRPr="00D37313">
        <w:t xml:space="preserve"> different legal structures. Although the groups in question should be expected to know if they are under common control, it may be very difficult for tax authorities to check compliance with the reporting requirements.</w:t>
      </w:r>
    </w:p>
    <w:p w14:paraId="79FBD2A9" w14:textId="348E3F80" w:rsidR="008E2E72" w:rsidRPr="00D37313" w:rsidRDefault="00456389" w:rsidP="008E2E72">
      <w:pPr>
        <w:pStyle w:val="Text"/>
      </w:pPr>
      <w:bookmarkStart w:id="7" w:name="_Hlk33777493"/>
      <w:r w:rsidRPr="00D37313">
        <w:t xml:space="preserve">As </w:t>
      </w:r>
      <w:r w:rsidR="00D161E3" w:rsidRPr="00D37313">
        <w:t>4. above</w:t>
      </w:r>
      <w:r w:rsidRPr="00D37313">
        <w:t xml:space="preserve">, it should be considered whether the scale of the perceived issue is sufficient justification for complicating the rules for all </w:t>
      </w:r>
      <w:r w:rsidR="00537226">
        <w:t xml:space="preserve">- </w:t>
      </w:r>
      <w:r w:rsidRPr="00D37313">
        <w:t>or whether the specific problem could be dealt with in another fashion</w:t>
      </w:r>
      <w:r w:rsidR="00D161E3" w:rsidRPr="00D37313">
        <w:t xml:space="preserve">. This is particularly the case for the entities that could be captured by this proposal as they </w:t>
      </w:r>
      <w:r w:rsidR="00537226">
        <w:t>will</w:t>
      </w:r>
      <w:r w:rsidR="00D161E3" w:rsidRPr="00D37313">
        <w:t xml:space="preserve"> have to develop new systems to meet the common reporting requirement. </w:t>
      </w:r>
    </w:p>
    <w:p w14:paraId="243BAFC9" w14:textId="0B86A4CF" w:rsidR="008E2E72" w:rsidRPr="00D37313" w:rsidRDefault="008E2E72" w:rsidP="008E2E72">
      <w:pPr>
        <w:pStyle w:val="Heading2"/>
        <w:numPr>
          <w:ilvl w:val="0"/>
          <w:numId w:val="39"/>
        </w:numPr>
        <w:ind w:left="567" w:hanging="567"/>
        <w:rPr>
          <w:rFonts w:eastAsia="MS Gothic"/>
          <w:lang w:val="en-GB"/>
        </w:rPr>
      </w:pPr>
      <w:bookmarkStart w:id="8" w:name="_Hlk33777559"/>
      <w:bookmarkEnd w:id="7"/>
      <w:r w:rsidRPr="00D37313">
        <w:rPr>
          <w:rFonts w:eastAsia="MS Gothic"/>
          <w:lang w:val="en-GB"/>
        </w:rPr>
        <w:lastRenderedPageBreak/>
        <w:t>Should the level of the consolidated group revenue threshold be reduced?</w:t>
      </w:r>
    </w:p>
    <w:p w14:paraId="7967289D" w14:textId="77DE0E80" w:rsidR="008E2E72" w:rsidRPr="00D37313" w:rsidRDefault="00817F0F" w:rsidP="008E2E72">
      <w:pPr>
        <w:pStyle w:val="Text"/>
      </w:pPr>
      <w:bookmarkStart w:id="9" w:name="_Hlk33777601"/>
      <w:bookmarkEnd w:id="8"/>
      <w:r w:rsidRPr="00D37313">
        <w:t>The level of the consolidated group revenue threshold should be periodically reviewed to ensure that it is still appropriate to meet the BEPS Action 13 policy objectives. However, we are not convinced that there is a current need to reduce the current threshold of 750 million euro.</w:t>
      </w:r>
    </w:p>
    <w:p w14:paraId="1CDF4168" w14:textId="0F627F8D" w:rsidR="00817F0F" w:rsidRPr="00D37313" w:rsidRDefault="00817F0F" w:rsidP="008E2E72">
      <w:pPr>
        <w:pStyle w:val="Text"/>
      </w:pPr>
      <w:r w:rsidRPr="00D37313">
        <w:t>The consultation document states that the current threshold accounts for approximately 90 percent of relevant corporate revenues whilst only including 10 to 15 percent of MNE groups. We believe that this is a very effective result.</w:t>
      </w:r>
    </w:p>
    <w:p w14:paraId="50C40EC7" w14:textId="1949F294" w:rsidR="00817F0F" w:rsidRPr="00D37313" w:rsidRDefault="00817F0F" w:rsidP="008E2E72">
      <w:pPr>
        <w:pStyle w:val="Text"/>
      </w:pPr>
      <w:r w:rsidRPr="00D37313">
        <w:t>Lowering the threshold without a clear</w:t>
      </w:r>
      <w:r w:rsidR="00537226">
        <w:t>,</w:t>
      </w:r>
      <w:r w:rsidRPr="00D37313">
        <w:t xml:space="preserve"> empirically based</w:t>
      </w:r>
      <w:r w:rsidR="00537226">
        <w:t>,</w:t>
      </w:r>
      <w:r w:rsidRPr="00D37313">
        <w:t xml:space="preserve"> need to do so risks a significant additional administrative burden on smaller groups unprepared for the reporting requirements</w:t>
      </w:r>
      <w:r w:rsidR="00537226">
        <w:t xml:space="preserve"> -</w:t>
      </w:r>
      <w:r w:rsidRPr="00D37313">
        <w:t xml:space="preserve"> with potentially little gain for tax authorities. Indeed, it is our understanding that many tax authorities are struggling to make proper use of the </w:t>
      </w:r>
      <w:proofErr w:type="spellStart"/>
      <w:r w:rsidR="00C158B9" w:rsidRPr="00D37313">
        <w:t>cbc</w:t>
      </w:r>
      <w:proofErr w:type="spellEnd"/>
      <w:r w:rsidR="00C158B9" w:rsidRPr="00D37313">
        <w:t xml:space="preserve"> information that they already receive </w:t>
      </w:r>
      <w:r w:rsidR="00537226">
        <w:t>and</w:t>
      </w:r>
      <w:r w:rsidR="00C158B9" w:rsidRPr="00D37313">
        <w:t xml:space="preserve"> would be ill prepared to assimilate what could be a significant increase in data.</w:t>
      </w:r>
    </w:p>
    <w:p w14:paraId="155ED90F" w14:textId="2856335D" w:rsidR="00C158B9" w:rsidRPr="00D37313" w:rsidRDefault="00C158B9" w:rsidP="008E2E72">
      <w:pPr>
        <w:pStyle w:val="Text"/>
        <w:rPr>
          <w:caps/>
        </w:rPr>
      </w:pPr>
      <w:r w:rsidRPr="00D37313">
        <w:t xml:space="preserve">It should be </w:t>
      </w:r>
      <w:r w:rsidR="00537226" w:rsidRPr="00D37313">
        <w:t>noted</w:t>
      </w:r>
      <w:r w:rsidRPr="00D37313">
        <w:t xml:space="preserve"> that a reduction in the threshold would also result in exacerbating the administrative burden for companies affected by the proposals in Questions 4 and 5 above.</w:t>
      </w:r>
    </w:p>
    <w:bookmarkEnd w:id="9"/>
    <w:p w14:paraId="25D9CC7D" w14:textId="63860D6F" w:rsidR="008E2E72" w:rsidRPr="00D37313" w:rsidRDefault="007D446F" w:rsidP="007D446F">
      <w:pPr>
        <w:pStyle w:val="Heading2"/>
        <w:numPr>
          <w:ilvl w:val="0"/>
          <w:numId w:val="39"/>
        </w:numPr>
        <w:ind w:left="567" w:hanging="567"/>
        <w:rPr>
          <w:rFonts w:eastAsia="MS Gothic"/>
          <w:lang w:val="en-GB"/>
        </w:rPr>
      </w:pPr>
      <w:r w:rsidRPr="00D37313">
        <w:rPr>
          <w:rFonts w:eastAsia="MS Gothic"/>
          <w:lang w:val="en-GB"/>
        </w:rPr>
        <w:t>Should a jurisdiction with a consolidated group revenue threshold denominated in a currency other than EUR be required or permitted to rebase its threshold periodically?</w:t>
      </w:r>
    </w:p>
    <w:p w14:paraId="006337D5" w14:textId="77777777" w:rsidR="000165E3" w:rsidRDefault="00124244" w:rsidP="007D446F">
      <w:pPr>
        <w:pStyle w:val="Text"/>
      </w:pPr>
      <w:r w:rsidRPr="00D37313">
        <w:t xml:space="preserve">We believe that there should definitely be a </w:t>
      </w:r>
      <w:r w:rsidR="00DE5214">
        <w:t>formalised,</w:t>
      </w:r>
      <w:r w:rsidRPr="00D37313">
        <w:t xml:space="preserve"> voluntary mechanism </w:t>
      </w:r>
      <w:r w:rsidR="00DE5214">
        <w:t>to rebase where</w:t>
      </w:r>
      <w:r w:rsidRPr="00D37313">
        <w:t xml:space="preserve"> countries do not denominate their threshold in EUR. We have had experience with the practical issues that large currency fluctuations can cause in BEPS Action 13 filings. </w:t>
      </w:r>
    </w:p>
    <w:p w14:paraId="1C96E2C3" w14:textId="195F48A1" w:rsidR="007D446F" w:rsidRPr="00D37313" w:rsidRDefault="00124244" w:rsidP="007D446F">
      <w:pPr>
        <w:pStyle w:val="Text"/>
      </w:pPr>
      <w:r w:rsidRPr="00D37313">
        <w:t xml:space="preserve">For example, the near </w:t>
      </w:r>
      <w:r w:rsidR="000165E3">
        <w:t>20</w:t>
      </w:r>
      <w:r w:rsidRPr="00D37313">
        <w:t xml:space="preserve">% devaluation of the Indian rupee against the Euro has resulted in </w:t>
      </w:r>
      <w:r w:rsidR="000165E3">
        <w:t>MNE groups</w:t>
      </w:r>
      <w:r w:rsidR="00DE5214" w:rsidRPr="00D37313">
        <w:t xml:space="preserve"> </w:t>
      </w:r>
      <w:r w:rsidR="000165E3">
        <w:t>having to</w:t>
      </w:r>
      <w:r w:rsidR="00DE5214" w:rsidRPr="00D37313">
        <w:t xml:space="preserve"> </w:t>
      </w:r>
      <w:r w:rsidR="000165E3" w:rsidRPr="00D37313">
        <w:t>develop</w:t>
      </w:r>
      <w:r w:rsidR="00DE5214" w:rsidRPr="00D37313">
        <w:t xml:space="preserve"> </w:t>
      </w:r>
      <w:r w:rsidR="000165E3">
        <w:t xml:space="preserve">systems </w:t>
      </w:r>
      <w:r w:rsidR="00DE5214" w:rsidRPr="00D37313">
        <w:t>to file locally in India rather than</w:t>
      </w:r>
      <w:r w:rsidR="76F6F588">
        <w:t>, in this particular case,</w:t>
      </w:r>
      <w:r w:rsidR="00DE5214" w:rsidRPr="00D37313">
        <w:t xml:space="preserve"> through the group’s headquarters in Germany</w:t>
      </w:r>
      <w:r w:rsidR="00D35A65">
        <w:t>. This was</w:t>
      </w:r>
      <w:r w:rsidR="000165E3">
        <w:t xml:space="preserve"> because the group was below the threshold in EUR and </w:t>
      </w:r>
      <w:r w:rsidRPr="00D37313">
        <w:t xml:space="preserve">the German tax authority </w:t>
      </w:r>
      <w:r w:rsidR="000165E3">
        <w:t>would not</w:t>
      </w:r>
      <w:r w:rsidRPr="00D37313">
        <w:t xml:space="preserve"> accept </w:t>
      </w:r>
      <w:r w:rsidR="000165E3">
        <w:t xml:space="preserve">the </w:t>
      </w:r>
      <w:r w:rsidRPr="00D37313">
        <w:t xml:space="preserve">Action 13 reports. </w:t>
      </w:r>
    </w:p>
    <w:p w14:paraId="264B5C29" w14:textId="75205222" w:rsidR="007D446F" w:rsidRPr="00D37313" w:rsidRDefault="00124244" w:rsidP="007D446F">
      <w:pPr>
        <w:pStyle w:val="Text"/>
      </w:pPr>
      <w:r w:rsidRPr="00D37313">
        <w:t>However, we are not convinced that countries should be able to rebase at will</w:t>
      </w:r>
      <w:r w:rsidR="0053624C" w:rsidRPr="00D37313">
        <w:t xml:space="preserve"> as this could result in considerable uncertainty for both business and tax authorities</w:t>
      </w:r>
      <w:r w:rsidR="000165E3">
        <w:t>. It also</w:t>
      </w:r>
      <w:r w:rsidR="0053624C" w:rsidRPr="00D37313">
        <w:t xml:space="preserve"> has the potential to cause considerable short</w:t>
      </w:r>
      <w:r w:rsidR="000165E3">
        <w:t>-</w:t>
      </w:r>
      <w:r w:rsidR="0053624C" w:rsidRPr="00D37313">
        <w:t>term fluctuations where MNE groups drop in and out of reporting.</w:t>
      </w:r>
    </w:p>
    <w:p w14:paraId="42C8045E" w14:textId="4159E4BA" w:rsidR="0053624C" w:rsidRPr="00D37313" w:rsidRDefault="0053624C" w:rsidP="007D446F">
      <w:pPr>
        <w:pStyle w:val="Text"/>
      </w:pPr>
      <w:r w:rsidRPr="00D37313">
        <w:t xml:space="preserve">We would recommend a mechanism for periodic review – perhaps between 3 to 5 years – but with a potential ‘quick response’ mechanism that could be activated in cases of severe currency fluctuation. This could be, for example, where a currency increases or decreases by more than 20 percent in a single year. </w:t>
      </w:r>
      <w:r w:rsidR="00B81BBB" w:rsidRPr="00D37313">
        <w:t xml:space="preserve">This would provide a suitable mix of certainty for taxpayers and tax authorities combined with flexibility for jurisdictions </w:t>
      </w:r>
      <w:r w:rsidR="000165E3">
        <w:t xml:space="preserve">to </w:t>
      </w:r>
      <w:r w:rsidR="00B81BBB" w:rsidRPr="00D37313">
        <w:t>respon</w:t>
      </w:r>
      <w:r w:rsidR="000165E3">
        <w:t>d rapidly to</w:t>
      </w:r>
      <w:r w:rsidR="00B81BBB" w:rsidRPr="00D37313">
        <w:t xml:space="preserve"> exceptional circumstances.</w:t>
      </w:r>
    </w:p>
    <w:p w14:paraId="19C0CCA5" w14:textId="574B65B2" w:rsidR="007D446F" w:rsidRPr="00D37313" w:rsidRDefault="007D446F" w:rsidP="007D446F">
      <w:pPr>
        <w:pStyle w:val="Heading2"/>
        <w:numPr>
          <w:ilvl w:val="0"/>
          <w:numId w:val="39"/>
        </w:numPr>
        <w:ind w:left="567" w:hanging="567"/>
        <w:rPr>
          <w:rFonts w:eastAsia="MS Gothic"/>
          <w:lang w:val="en-GB"/>
        </w:rPr>
      </w:pPr>
      <w:r w:rsidRPr="00D37313">
        <w:rPr>
          <w:rFonts w:eastAsia="MS Gothic"/>
          <w:lang w:val="en-GB"/>
        </w:rPr>
        <w:lastRenderedPageBreak/>
        <w:t xml:space="preserve">Should the threshold for Excluded MNE Groups </w:t>
      </w:r>
      <w:proofErr w:type="gramStart"/>
      <w:r w:rsidRPr="00D37313">
        <w:rPr>
          <w:rFonts w:eastAsia="MS Gothic"/>
          <w:lang w:val="en-GB"/>
        </w:rPr>
        <w:t>take into account</w:t>
      </w:r>
      <w:proofErr w:type="gramEnd"/>
      <w:r w:rsidRPr="00D37313">
        <w:rPr>
          <w:rFonts w:eastAsia="MS Gothic"/>
          <w:lang w:val="en-GB"/>
        </w:rPr>
        <w:t xml:space="preserve"> more than one year of consolidated group revenue?</w:t>
      </w:r>
    </w:p>
    <w:p w14:paraId="22FAD4E9" w14:textId="24A536AD" w:rsidR="00867A8B" w:rsidRPr="00D37313" w:rsidRDefault="00867A8B" w:rsidP="007D446F">
      <w:pPr>
        <w:pStyle w:val="Text"/>
      </w:pPr>
      <w:bookmarkStart w:id="10" w:name="_Hlk33777765"/>
      <w:r w:rsidRPr="00D37313">
        <w:t>A</w:t>
      </w:r>
      <w:r w:rsidR="00A476FF">
        <w:t>n</w:t>
      </w:r>
      <w:r w:rsidRPr="00D37313">
        <w:t xml:space="preserve"> MNE that has to report under BEPS Action 13 faces considerable costs in developing reporting processes and </w:t>
      </w:r>
      <w:r w:rsidR="00A476FF">
        <w:t xml:space="preserve">IT </w:t>
      </w:r>
      <w:r w:rsidRPr="00D37313">
        <w:t xml:space="preserve">systems when reporting for the first time. Consequently, it is important that companies habitually close to the threshold </w:t>
      </w:r>
      <w:r w:rsidR="00C83671" w:rsidRPr="00D37313">
        <w:t>do not face a situation where they drop in and out of reporting due to annual fluctuations.</w:t>
      </w:r>
    </w:p>
    <w:p w14:paraId="3F660ED0" w14:textId="1F1D935D" w:rsidR="007D446F" w:rsidRPr="00D37313" w:rsidRDefault="00C83671" w:rsidP="007D446F">
      <w:pPr>
        <w:pStyle w:val="Text"/>
      </w:pPr>
      <w:r w:rsidRPr="00D37313">
        <w:t>Consequently, w</w:t>
      </w:r>
      <w:r w:rsidR="00867A8B" w:rsidRPr="00D37313">
        <w:t xml:space="preserve">e believe that there are good reasons why a multi-year approach should be </w:t>
      </w:r>
      <w:r w:rsidR="00A476FF">
        <w:t>implemented</w:t>
      </w:r>
      <w:r w:rsidR="00867A8B" w:rsidRPr="00D37313">
        <w:t xml:space="preserve"> </w:t>
      </w:r>
      <w:r w:rsidR="00A476FF">
        <w:t>to determine</w:t>
      </w:r>
      <w:r w:rsidR="00867A8B" w:rsidRPr="00D37313">
        <w:t xml:space="preserve"> whether the reporting threshold is breached.</w:t>
      </w:r>
    </w:p>
    <w:p w14:paraId="054A2F8D" w14:textId="57E5B28E" w:rsidR="00867A8B" w:rsidRPr="00D37313" w:rsidRDefault="00A476FF" w:rsidP="007D446F">
      <w:pPr>
        <w:pStyle w:val="Text"/>
      </w:pPr>
      <w:r>
        <w:t>A multi-year approach</w:t>
      </w:r>
      <w:r w:rsidR="00867A8B" w:rsidRPr="00D37313">
        <w:t xml:space="preserve"> reduces the issue of one-off items (exceptional or extraordinary as per 9. below) being responsible for a group having to report for a single year.</w:t>
      </w:r>
    </w:p>
    <w:p w14:paraId="7354EBE7" w14:textId="37476ED9" w:rsidR="00867A8B" w:rsidRPr="00D37313" w:rsidRDefault="00867A8B" w:rsidP="007D446F">
      <w:pPr>
        <w:pStyle w:val="Text"/>
      </w:pPr>
      <w:r w:rsidRPr="00D37313">
        <w:t>It also potentially alleviates the problems described in 7. above in relation to</w:t>
      </w:r>
      <w:r w:rsidR="00C83671" w:rsidRPr="00D37313">
        <w:t xml:space="preserve"> short term currency fluctuations for jurisdictions where the threshold is denominated in currency other than EUR. </w:t>
      </w:r>
    </w:p>
    <w:p w14:paraId="63D79775" w14:textId="1712FD72" w:rsidR="00C83671" w:rsidRPr="00D37313" w:rsidRDefault="00C83671" w:rsidP="007D446F">
      <w:pPr>
        <w:pStyle w:val="Text"/>
      </w:pPr>
      <w:r w:rsidRPr="00D37313">
        <w:t>Our initial view is that the Option 1 (</w:t>
      </w:r>
      <w:r w:rsidRPr="00A476FF">
        <w:rPr>
          <w:i/>
          <w:iCs/>
        </w:rPr>
        <w:t xml:space="preserve">An MNE group could be required to file a </w:t>
      </w:r>
      <w:proofErr w:type="spellStart"/>
      <w:r w:rsidRPr="00A476FF">
        <w:rPr>
          <w:i/>
          <w:iCs/>
        </w:rPr>
        <w:t>CbC</w:t>
      </w:r>
      <w:proofErr w:type="spellEnd"/>
      <w:r w:rsidRPr="00A476FF">
        <w:rPr>
          <w:i/>
          <w:iCs/>
        </w:rPr>
        <w:t xml:space="preserve"> report if its consolidated group revenue is above the threshold for the two immediately preceding fiscal years (or other number of years to be determined)</w:t>
      </w:r>
      <w:r w:rsidRPr="00D37313">
        <w:t xml:space="preserve">) is a good place to start. </w:t>
      </w:r>
      <w:r w:rsidR="00A476FF">
        <w:t>This two-year approach</w:t>
      </w:r>
      <w:r w:rsidRPr="00D37313">
        <w:t xml:space="preserve"> works in other applications</w:t>
      </w:r>
      <w:r w:rsidR="00A476FF">
        <w:t xml:space="preserve"> -</w:t>
      </w:r>
      <w:r w:rsidRPr="00D37313">
        <w:t xml:space="preserve"> such as the determination of company size in the EU Accounting Directive</w:t>
      </w:r>
      <w:r w:rsidR="00A476FF">
        <w:t xml:space="preserve"> -</w:t>
      </w:r>
      <w:r w:rsidRPr="00D37313">
        <w:t xml:space="preserve"> and </w:t>
      </w:r>
      <w:r w:rsidR="00D37313" w:rsidRPr="00D37313">
        <w:t xml:space="preserve">provides an element of smoothing </w:t>
      </w:r>
      <w:r w:rsidR="00A476FF">
        <w:t xml:space="preserve">but </w:t>
      </w:r>
      <w:r w:rsidR="00D37313" w:rsidRPr="00D37313">
        <w:t>without too much complexity. Using more than two years as a basis may also work</w:t>
      </w:r>
      <w:r w:rsidR="00A476FF">
        <w:t>,</w:t>
      </w:r>
      <w:r w:rsidR="00D37313" w:rsidRPr="00D37313">
        <w:t xml:space="preserve"> but too long a period opens up the possibility of internal factors, such as reorganisations, or external factors, such as changes in the threshold, </w:t>
      </w:r>
      <w:r w:rsidR="00A476FF">
        <w:t>complicating the issue</w:t>
      </w:r>
      <w:r w:rsidR="00D37313" w:rsidRPr="00D37313">
        <w:t>.</w:t>
      </w:r>
    </w:p>
    <w:bookmarkEnd w:id="10"/>
    <w:p w14:paraId="63BD64B7" w14:textId="77777777" w:rsidR="007D446F" w:rsidRPr="00D37313" w:rsidRDefault="007D446F" w:rsidP="007D446F">
      <w:pPr>
        <w:pStyle w:val="Heading2"/>
        <w:numPr>
          <w:ilvl w:val="0"/>
          <w:numId w:val="39"/>
        </w:numPr>
        <w:ind w:left="567" w:hanging="567"/>
        <w:rPr>
          <w:rFonts w:eastAsia="MS Gothic"/>
          <w:lang w:val="en-GB"/>
        </w:rPr>
      </w:pPr>
      <w:r w:rsidRPr="00D37313">
        <w:rPr>
          <w:rFonts w:eastAsia="MS Gothic"/>
          <w:lang w:val="en-GB"/>
        </w:rPr>
        <w:t>Should extraordinary income be included in consolidated group revenue?</w:t>
      </w:r>
    </w:p>
    <w:p w14:paraId="4EDC69E6" w14:textId="00113291" w:rsidR="007D446F" w:rsidRDefault="00D030D8" w:rsidP="007D446F">
      <w:pPr>
        <w:pStyle w:val="Text"/>
      </w:pPr>
      <w:bookmarkStart w:id="11" w:name="_Hlk33777890"/>
      <w:r>
        <w:t>Within the</w:t>
      </w:r>
      <w:r w:rsidR="00D37313" w:rsidRPr="00D37313">
        <w:t xml:space="preserve"> E</w:t>
      </w:r>
      <w:r w:rsidR="00D37313">
        <w:t xml:space="preserve">uropean </w:t>
      </w:r>
      <w:r w:rsidR="00D37313" w:rsidRPr="00D37313">
        <w:t>U</w:t>
      </w:r>
      <w:r w:rsidR="00D37313">
        <w:t>nion</w:t>
      </w:r>
      <w:r w:rsidR="00D37313" w:rsidRPr="00D37313">
        <w:t>, the</w:t>
      </w:r>
      <w:r w:rsidR="00D37313">
        <w:t xml:space="preserve"> mandatory use of IFRS for companies listed on a public exchange means that for many European companies that report under BEPS Action 13</w:t>
      </w:r>
      <w:r w:rsidR="00A476FF">
        <w:t>,</w:t>
      </w:r>
      <w:r w:rsidR="00D37313">
        <w:t xml:space="preserve"> exceptional\extraordinary income would not normally be disclosed separately in the consolidated financial statements</w:t>
      </w:r>
      <w:r w:rsidR="009163F7">
        <w:t>. Consequently,</w:t>
      </w:r>
      <w:r w:rsidR="00D37313">
        <w:t xml:space="preserve"> it would make sense to include them in consolidated group income.</w:t>
      </w:r>
    </w:p>
    <w:p w14:paraId="2DF43BC6" w14:textId="0271B691" w:rsidR="009163F7" w:rsidRPr="00D37313" w:rsidRDefault="009163F7" w:rsidP="007D446F">
      <w:pPr>
        <w:pStyle w:val="Text"/>
      </w:pPr>
      <w:r>
        <w:t>Using the multi-year approach described in 8. above would then reduce the possibility that extraordinary income requires MNE groups to report for only a single year.</w:t>
      </w:r>
    </w:p>
    <w:bookmarkEnd w:id="11"/>
    <w:p w14:paraId="6C70477C" w14:textId="0AC2CD11" w:rsidR="007D446F" w:rsidRPr="00D37313" w:rsidRDefault="00492AF5" w:rsidP="00492AF5">
      <w:pPr>
        <w:pStyle w:val="Heading2"/>
        <w:numPr>
          <w:ilvl w:val="0"/>
          <w:numId w:val="39"/>
        </w:numPr>
        <w:ind w:left="567" w:hanging="567"/>
        <w:rPr>
          <w:rFonts w:eastAsia="MS Gothic"/>
          <w:lang w:val="en-GB"/>
        </w:rPr>
      </w:pPr>
      <w:r w:rsidRPr="00D37313">
        <w:rPr>
          <w:rFonts w:eastAsia="MS Gothic"/>
          <w:lang w:val="en-GB"/>
        </w:rPr>
        <w:t>Should gains from investment activity be included in consolidated group revenue?</w:t>
      </w:r>
    </w:p>
    <w:p w14:paraId="23271847" w14:textId="399359D4" w:rsidR="007D446F" w:rsidRPr="00D37313" w:rsidRDefault="006340FC" w:rsidP="007D446F">
      <w:pPr>
        <w:pStyle w:val="Text"/>
      </w:pPr>
      <w:r>
        <w:t>As investment</w:t>
      </w:r>
      <w:r w:rsidR="00E16F3E">
        <w:t xml:space="preserve"> activity is an important source of revenue for many large MNEs, we believe that gains arising from investment activity should be included in consolidated group revenue. </w:t>
      </w:r>
    </w:p>
    <w:p w14:paraId="63CF5A24" w14:textId="2848B012" w:rsidR="007D446F" w:rsidRPr="00D37313" w:rsidRDefault="00492AF5" w:rsidP="00492AF5">
      <w:pPr>
        <w:pStyle w:val="Heading2"/>
        <w:numPr>
          <w:ilvl w:val="0"/>
          <w:numId w:val="39"/>
        </w:numPr>
        <w:ind w:left="567" w:hanging="567"/>
        <w:rPr>
          <w:rFonts w:eastAsia="MS Gothic"/>
          <w:lang w:val="en-GB"/>
        </w:rPr>
      </w:pPr>
      <w:r w:rsidRPr="00D37313">
        <w:rPr>
          <w:rFonts w:eastAsia="MS Gothic"/>
          <w:lang w:val="en-GB"/>
        </w:rPr>
        <w:lastRenderedPageBreak/>
        <w:t>In cases where the immediately preceding fiscal year of an MNE Group is of a period other than 12 months, should the consolidated group revenue threshold (or, alternatively, consolidated group revenue in the immediately preceding fiscal year) be adjusted in determining whether the MNE Group is an Excluded MNE Group?</w:t>
      </w:r>
    </w:p>
    <w:p w14:paraId="3B6A5C37" w14:textId="0034ADF3" w:rsidR="00492AF5" w:rsidRDefault="006340FC" w:rsidP="00492AF5">
      <w:pPr>
        <w:pStyle w:val="Text"/>
      </w:pPr>
      <w:bookmarkStart w:id="12" w:name="_Hlk33778008"/>
      <w:r>
        <w:t xml:space="preserve">We believe that it is appropriate to pro-rate the consolidated group threshold </w:t>
      </w:r>
      <w:r w:rsidR="00945AF7">
        <w:t xml:space="preserve">where the MNE’s groups preceding fiscal year is longer or shorter than a year. This would be the simplest method for dealing with long or short accounting periods and is often used by national governments for their financial reporting and tax reporting </w:t>
      </w:r>
      <w:r w:rsidR="00A476FF">
        <w:t>regulations</w:t>
      </w:r>
      <w:r w:rsidR="00945AF7">
        <w:t>.</w:t>
      </w:r>
    </w:p>
    <w:p w14:paraId="619A1609" w14:textId="38834BA3" w:rsidR="00945AF7" w:rsidRDefault="00945AF7" w:rsidP="00492AF5">
      <w:pPr>
        <w:pStyle w:val="Text"/>
      </w:pPr>
      <w:r>
        <w:t>We do not believe that the consolidated group revenue should be pro-rated. For long accounting periods MNE groups would typically have the financial information for both the separate periods</w:t>
      </w:r>
      <w:r w:rsidR="1E982017">
        <w:t>, for tax purposes at least</w:t>
      </w:r>
      <w:r w:rsidR="11298170">
        <w:t>.</w:t>
      </w:r>
      <w:r>
        <w:t xml:space="preserve"> Also, extending or reducing the accounting period is often associated with a change in an MNE group such as significant acquisitions, mergers or group reconstructions. In such circumstances, pro-rating the MNE group’s income could produce </w:t>
      </w:r>
      <w:r w:rsidR="00A476FF">
        <w:t xml:space="preserve">extrapolated </w:t>
      </w:r>
      <w:r>
        <w:t>results considerably divergent from commercial reality.</w:t>
      </w:r>
    </w:p>
    <w:p w14:paraId="0637652D" w14:textId="386E4760" w:rsidR="00945AF7" w:rsidRPr="00D37313" w:rsidRDefault="006E1F70" w:rsidP="00492AF5">
      <w:pPr>
        <w:pStyle w:val="Text"/>
      </w:pPr>
      <w:r>
        <w:t>Consideration should also be given to how pro-rating the threshold would interact with taking a multi-year approach described in 8. above. Should both concepts be agreed, a set methodology should be prescribed for the circumstances when one of the periods included in the multi-year approach is a long or short accounting period.</w:t>
      </w:r>
    </w:p>
    <w:p w14:paraId="24DC8CE1" w14:textId="77777777" w:rsidR="00CA334B" w:rsidRPr="00D37313" w:rsidRDefault="00CA334B" w:rsidP="00CA334B">
      <w:pPr>
        <w:pStyle w:val="HeadingToC"/>
      </w:pPr>
      <w:r w:rsidRPr="00D37313">
        <w:t>CHAPTER THREE – CONTENT OF THE CBC REPORT</w:t>
      </w:r>
    </w:p>
    <w:bookmarkEnd w:id="12"/>
    <w:p w14:paraId="0FFDE634" w14:textId="28BFCD6F" w:rsidR="007D446F" w:rsidRPr="00D37313" w:rsidRDefault="00492AF5" w:rsidP="00492AF5">
      <w:pPr>
        <w:pStyle w:val="Heading2"/>
        <w:numPr>
          <w:ilvl w:val="0"/>
          <w:numId w:val="39"/>
        </w:numPr>
        <w:ind w:left="567" w:hanging="567"/>
        <w:rPr>
          <w:rFonts w:eastAsia="MS Gothic"/>
          <w:lang w:val="en-GB"/>
        </w:rPr>
      </w:pPr>
      <w:r w:rsidRPr="00D37313">
        <w:rPr>
          <w:rFonts w:eastAsia="MS Gothic"/>
          <w:lang w:val="en-GB"/>
        </w:rPr>
        <w:t>Should information in Table 1 be presented by entity rather than by tax jurisdiction?</w:t>
      </w:r>
    </w:p>
    <w:p w14:paraId="6E5BE51A" w14:textId="13D09056" w:rsidR="00492AF5" w:rsidRPr="00D37313" w:rsidRDefault="00E16F3E" w:rsidP="00492AF5">
      <w:pPr>
        <w:pStyle w:val="Text"/>
      </w:pPr>
      <w:r>
        <w:t>We do not have a view on this question.</w:t>
      </w:r>
    </w:p>
    <w:p w14:paraId="17AD40B8" w14:textId="0C5C50E6" w:rsidR="007D446F" w:rsidRPr="00D37313" w:rsidRDefault="00492AF5" w:rsidP="00492AF5">
      <w:pPr>
        <w:pStyle w:val="Heading2"/>
        <w:numPr>
          <w:ilvl w:val="0"/>
          <w:numId w:val="39"/>
        </w:numPr>
        <w:ind w:left="567" w:hanging="567"/>
        <w:rPr>
          <w:rFonts w:eastAsia="MS Gothic"/>
          <w:lang w:val="en-GB"/>
        </w:rPr>
      </w:pPr>
      <w:r w:rsidRPr="00D37313">
        <w:rPr>
          <w:rFonts w:eastAsia="MS Gothic"/>
          <w:lang w:val="en-GB"/>
        </w:rPr>
        <w:t>Should consolidated data rather than aggregate data be used in Table 1?</w:t>
      </w:r>
    </w:p>
    <w:p w14:paraId="2BDADE04" w14:textId="6CA8E05C" w:rsidR="00492AF5" w:rsidRDefault="00D030D8" w:rsidP="00492AF5">
      <w:pPr>
        <w:pStyle w:val="Text"/>
      </w:pPr>
      <w:r>
        <w:t xml:space="preserve">Within the </w:t>
      </w:r>
      <w:r w:rsidR="00DD3239" w:rsidRPr="00D37313">
        <w:t>E</w:t>
      </w:r>
      <w:r w:rsidR="00DD3239">
        <w:t xml:space="preserve">uropean </w:t>
      </w:r>
      <w:r w:rsidR="00DD3239" w:rsidRPr="00D37313">
        <w:t>U</w:t>
      </w:r>
      <w:r w:rsidR="00DD3239">
        <w:t>nion, the EU Accounting Directive allows exemption from consolidation for small and medium sized groups as well as for intermediate groups where the ultimate parent company prepares consolidated accounts. Even where consolidated financial statements are prepared there may be entities excluded from consolidation.</w:t>
      </w:r>
    </w:p>
    <w:p w14:paraId="59E241B3" w14:textId="08AD4CAA" w:rsidR="00DD3239" w:rsidRPr="00D37313" w:rsidRDefault="00DD3239" w:rsidP="00492AF5">
      <w:pPr>
        <w:pStyle w:val="Text"/>
      </w:pPr>
      <w:r>
        <w:t xml:space="preserve">Consequently, using consolidated data </w:t>
      </w:r>
      <w:r w:rsidR="009726A5">
        <w:t xml:space="preserve">could be a considerable additional burden on some groups and this would be a wider issue if the thresholds were </w:t>
      </w:r>
      <w:r w:rsidR="00A476FF">
        <w:t>reduced</w:t>
      </w:r>
      <w:r w:rsidR="009726A5">
        <w:t>. We would recommend that such a step should not be taken until the need for it had been thoroughly proven.</w:t>
      </w:r>
    </w:p>
    <w:p w14:paraId="6047B5C8" w14:textId="786E877A" w:rsidR="007D446F" w:rsidRPr="00D37313" w:rsidRDefault="00492AF5" w:rsidP="00492AF5">
      <w:pPr>
        <w:pStyle w:val="Heading2"/>
        <w:numPr>
          <w:ilvl w:val="0"/>
          <w:numId w:val="39"/>
        </w:numPr>
        <w:ind w:left="567" w:hanging="567"/>
        <w:rPr>
          <w:rFonts w:eastAsia="MS Gothic"/>
          <w:lang w:val="en-GB"/>
        </w:rPr>
      </w:pPr>
      <w:r w:rsidRPr="00D37313">
        <w:rPr>
          <w:rFonts w:eastAsia="MS Gothic"/>
          <w:lang w:val="en-GB"/>
        </w:rPr>
        <w:lastRenderedPageBreak/>
        <w:t>Should additional columns be added to Table 1?</w:t>
      </w:r>
    </w:p>
    <w:p w14:paraId="317A77B2" w14:textId="3A706A80" w:rsidR="009726A5" w:rsidRDefault="009726A5" w:rsidP="00DD2722">
      <w:pPr>
        <w:pStyle w:val="Text"/>
      </w:pPr>
      <w:r>
        <w:t xml:space="preserve">The purpose of BEPS Action 13 reports </w:t>
      </w:r>
      <w:r w:rsidR="00A476FF">
        <w:t>is</w:t>
      </w:r>
      <w:r>
        <w:t xml:space="preserve"> high level risk assessment. Much of </w:t>
      </w:r>
      <w:r w:rsidR="00A476FF">
        <w:t>the proposed additional</w:t>
      </w:r>
      <w:r>
        <w:t xml:space="preserve"> information is in the master file or available to tax authorities from other sources, such as from tax return filings or existing automatic exchange of information.</w:t>
      </w:r>
    </w:p>
    <w:p w14:paraId="725F05C8" w14:textId="1778DC1E" w:rsidR="00DD2722" w:rsidRPr="00D37313" w:rsidRDefault="009726A5" w:rsidP="00DD2722">
      <w:pPr>
        <w:pStyle w:val="Text"/>
      </w:pPr>
      <w:r>
        <w:t xml:space="preserve">Before additional columns are added to Table 1 </w:t>
      </w:r>
      <w:r w:rsidR="0000580D">
        <w:t xml:space="preserve">a </w:t>
      </w:r>
      <w:r>
        <w:t xml:space="preserve">detailed </w:t>
      </w:r>
      <w:r w:rsidR="0000580D">
        <w:t>analysis should be performed to ensure that the each and every column added is essential for the purpose of high-level risk management.</w:t>
      </w:r>
    </w:p>
    <w:p w14:paraId="6AD92903" w14:textId="1EC75E1C" w:rsidR="007D446F" w:rsidRPr="00D37313" w:rsidRDefault="00DD2722" w:rsidP="00DD2722">
      <w:pPr>
        <w:pStyle w:val="Heading2"/>
        <w:numPr>
          <w:ilvl w:val="0"/>
          <w:numId w:val="39"/>
        </w:numPr>
        <w:ind w:left="567" w:hanging="567"/>
        <w:rPr>
          <w:rFonts w:eastAsia="MS Gothic"/>
          <w:lang w:val="en-GB"/>
        </w:rPr>
      </w:pPr>
      <w:r w:rsidRPr="00D37313">
        <w:rPr>
          <w:rFonts w:eastAsia="MS Gothic"/>
          <w:lang w:val="en-GB"/>
        </w:rPr>
        <w:t xml:space="preserve">Should changes be made to how constituent entities that are not resident in any tax jurisdiction for tax purposes are categorised for </w:t>
      </w:r>
      <w:proofErr w:type="spellStart"/>
      <w:r w:rsidRPr="00D37313">
        <w:rPr>
          <w:rFonts w:eastAsia="MS Gothic"/>
          <w:lang w:val="en-GB"/>
        </w:rPr>
        <w:t>CbC</w:t>
      </w:r>
      <w:proofErr w:type="spellEnd"/>
      <w:r w:rsidRPr="00D37313">
        <w:rPr>
          <w:rFonts w:eastAsia="MS Gothic"/>
          <w:lang w:val="en-GB"/>
        </w:rPr>
        <w:t xml:space="preserve"> reporting purposes and how information on these entities is reported in Table 1?</w:t>
      </w:r>
    </w:p>
    <w:p w14:paraId="00D424B0" w14:textId="77777777" w:rsidR="0000580D" w:rsidRPr="00D37313" w:rsidRDefault="0000580D" w:rsidP="0000580D">
      <w:pPr>
        <w:pStyle w:val="Text"/>
      </w:pPr>
      <w:r>
        <w:t>We do not have a view on this question.</w:t>
      </w:r>
    </w:p>
    <w:p w14:paraId="72BF4640" w14:textId="43D5C1EF" w:rsidR="007D446F" w:rsidRPr="00D37313" w:rsidRDefault="00DD2722" w:rsidP="00DD2722">
      <w:pPr>
        <w:pStyle w:val="Heading2"/>
        <w:numPr>
          <w:ilvl w:val="0"/>
          <w:numId w:val="39"/>
        </w:numPr>
        <w:ind w:left="567" w:hanging="567"/>
        <w:rPr>
          <w:rFonts w:eastAsia="MS Gothic"/>
          <w:lang w:val="en-GB"/>
        </w:rPr>
      </w:pPr>
      <w:r w:rsidRPr="00D37313">
        <w:rPr>
          <w:rFonts w:eastAsia="MS Gothic"/>
          <w:lang w:val="en-GB"/>
        </w:rPr>
        <w:t xml:space="preserve">Should fields required in the XML schema (e.g. tax identification number) that are not in the </w:t>
      </w:r>
      <w:proofErr w:type="spellStart"/>
      <w:r w:rsidRPr="00D37313">
        <w:rPr>
          <w:rFonts w:eastAsia="MS Gothic"/>
          <w:lang w:val="en-GB"/>
        </w:rPr>
        <w:t>CbCR</w:t>
      </w:r>
      <w:proofErr w:type="spellEnd"/>
      <w:r w:rsidRPr="00D37313">
        <w:rPr>
          <w:rFonts w:eastAsia="MS Gothic"/>
          <w:lang w:val="en-GB"/>
        </w:rPr>
        <w:t xml:space="preserve"> template in the Action 13 report be incorporated into the template?</w:t>
      </w:r>
    </w:p>
    <w:p w14:paraId="6BE6BA49" w14:textId="43441125" w:rsidR="00DD2722" w:rsidRPr="00D37313" w:rsidRDefault="0000580D" w:rsidP="00DD2722">
      <w:pPr>
        <w:pStyle w:val="Text"/>
      </w:pPr>
      <w:bookmarkStart w:id="13" w:name="_Hlk33778542"/>
      <w:r>
        <w:t>In our opinion, it would be logical to ensure that fields required in the XML schema are incorporated into the BEPS Action 13 template.</w:t>
      </w:r>
    </w:p>
    <w:bookmarkEnd w:id="13"/>
    <w:p w14:paraId="348C4D1A" w14:textId="4265B423" w:rsidR="007D446F" w:rsidRPr="00D37313" w:rsidRDefault="00CA334B" w:rsidP="00CA334B">
      <w:pPr>
        <w:pStyle w:val="Heading2"/>
        <w:numPr>
          <w:ilvl w:val="0"/>
          <w:numId w:val="39"/>
        </w:numPr>
        <w:ind w:left="567" w:hanging="567"/>
        <w:rPr>
          <w:rFonts w:eastAsia="MS Gothic"/>
          <w:lang w:val="en-GB"/>
        </w:rPr>
      </w:pPr>
      <w:r w:rsidRPr="00D37313">
        <w:rPr>
          <w:rFonts w:eastAsia="MS Gothic"/>
          <w:lang w:val="en-GB"/>
        </w:rPr>
        <w:t>Should standardised industry codes be included in Table 2?</w:t>
      </w:r>
    </w:p>
    <w:p w14:paraId="60919ADA" w14:textId="77777777" w:rsidR="0000580D" w:rsidRPr="00D37313" w:rsidRDefault="0000580D" w:rsidP="0000580D">
      <w:pPr>
        <w:pStyle w:val="Text"/>
      </w:pPr>
      <w:bookmarkStart w:id="14" w:name="_Hlk33778560"/>
      <w:bookmarkStart w:id="15" w:name="_Hlk33778617"/>
      <w:r>
        <w:t>We do not have a view on this question.</w:t>
      </w:r>
    </w:p>
    <w:bookmarkEnd w:id="14"/>
    <w:bookmarkEnd w:id="15"/>
    <w:p w14:paraId="5ED0592C" w14:textId="3E604AC2" w:rsidR="007D446F" w:rsidRPr="00D37313" w:rsidRDefault="00CA334B" w:rsidP="00CA334B">
      <w:pPr>
        <w:pStyle w:val="Heading2"/>
        <w:numPr>
          <w:ilvl w:val="0"/>
          <w:numId w:val="39"/>
        </w:numPr>
        <w:ind w:left="567" w:hanging="567"/>
        <w:rPr>
          <w:rFonts w:eastAsia="MS Gothic"/>
          <w:lang w:val="en-GB"/>
        </w:rPr>
      </w:pPr>
      <w:r w:rsidRPr="00D37313">
        <w:rPr>
          <w:rFonts w:eastAsia="MS Gothic"/>
          <w:lang w:val="en-GB"/>
        </w:rPr>
        <w:t>Should pre-determined fields be added to Table 3, in addition to free text?</w:t>
      </w:r>
    </w:p>
    <w:p w14:paraId="4DC23838" w14:textId="38ED9BA1" w:rsidR="007D446F" w:rsidRDefault="000C1E6A" w:rsidP="007D446F">
      <w:pPr>
        <w:pStyle w:val="Text"/>
      </w:pPr>
      <w:r>
        <w:t xml:space="preserve">It would be beneficial to </w:t>
      </w:r>
      <w:r w:rsidR="003D16C1">
        <w:t xml:space="preserve">thoroughly analyse the additional information provided by MNE groups in the </w:t>
      </w:r>
      <w:proofErr w:type="spellStart"/>
      <w:r w:rsidR="003D16C1">
        <w:t>cbc</w:t>
      </w:r>
      <w:proofErr w:type="spellEnd"/>
      <w:r w:rsidR="003D16C1">
        <w:t xml:space="preserve"> reports, perhaps using natural language data analytics</w:t>
      </w:r>
      <w:r w:rsidR="74D195AA">
        <w:t xml:space="preserve"> or some other form of artificial </w:t>
      </w:r>
      <w:r w:rsidR="00D35A65">
        <w:t>intelligence-based</w:t>
      </w:r>
      <w:r w:rsidR="5984F6C1">
        <w:t xml:space="preserve"> process</w:t>
      </w:r>
      <w:r w:rsidR="003D16C1">
        <w:t>, to quantify those categories of additional information most often provided voluntarily. If this information could then be provided by a check box, drop down box etc this would simplify the reporting process for the MNE group and the risk assessment process for the tax authority.</w:t>
      </w:r>
    </w:p>
    <w:p w14:paraId="1115762B" w14:textId="23E19B7F" w:rsidR="003D16C1" w:rsidRPr="00D37313" w:rsidRDefault="003D16C1" w:rsidP="007D446F">
      <w:pPr>
        <w:pStyle w:val="Text"/>
      </w:pPr>
      <w:r>
        <w:t>This would be particularly beneficial for MNE groups reporting for the first time (for example, should the threshold be reduced).</w:t>
      </w:r>
    </w:p>
    <w:p w14:paraId="2E3AC6C5" w14:textId="65CAC622" w:rsidR="000615C9" w:rsidRDefault="000615C9">
      <w:pPr>
        <w:spacing w:after="160" w:line="259" w:lineRule="auto"/>
        <w:rPr>
          <w:rFonts w:ascii="HelveticaNeueLT Std" w:hAnsi="HelveticaNeueLT Std"/>
        </w:rPr>
      </w:pPr>
      <w:r>
        <w:br w:type="page"/>
      </w:r>
    </w:p>
    <w:p w14:paraId="2F20055B" w14:textId="77777777" w:rsidR="000272D2" w:rsidRDefault="000272D2" w:rsidP="007D446F">
      <w:pPr>
        <w:pStyle w:val="Text"/>
      </w:pPr>
    </w:p>
    <w:p w14:paraId="541FC05D" w14:textId="1A4A44B6" w:rsidR="007D446F" w:rsidRPr="00D37313" w:rsidRDefault="000272D2" w:rsidP="007D446F">
      <w:pPr>
        <w:pStyle w:val="Text"/>
      </w:pPr>
      <w:r>
        <w:t>Please do not hesitate to contact us should you require any further information on this response.</w:t>
      </w:r>
    </w:p>
    <w:p w14:paraId="6D0449AE" w14:textId="1EFD3417" w:rsidR="007546AD" w:rsidRPr="00D37313" w:rsidRDefault="00076752" w:rsidP="00F9638C">
      <w:pPr>
        <w:pStyle w:val="Signatureline"/>
      </w:pPr>
      <w:r w:rsidRPr="00D37313">
        <w:t>Yours s</w:t>
      </w:r>
      <w:r w:rsidR="007546AD" w:rsidRPr="00D37313">
        <w:t>incerely,</w:t>
      </w:r>
    </w:p>
    <w:p w14:paraId="3D525160" w14:textId="15B2B3AD" w:rsidR="007546AD" w:rsidRPr="00D37313" w:rsidRDefault="214B8D4D" w:rsidP="214B8D4D">
      <w:pPr>
        <w:pStyle w:val="Text"/>
      </w:pPr>
      <w:r w:rsidRPr="00D37313">
        <w:t xml:space="preserve">Signed by </w:t>
      </w:r>
    </w:p>
    <w:p w14:paraId="7D9115C4" w14:textId="3490750F" w:rsidR="007546AD" w:rsidRPr="00D37313" w:rsidRDefault="214B8D4D" w:rsidP="214B8D4D">
      <w:pPr>
        <w:pStyle w:val="Text"/>
      </w:pPr>
      <w:r w:rsidRPr="00D37313">
        <w:rPr>
          <w:b/>
          <w:bCs/>
        </w:rPr>
        <w:t>Olivier Boutellis-Taft</w:t>
      </w:r>
    </w:p>
    <w:p w14:paraId="41FD07D3" w14:textId="77777777" w:rsidR="007546AD" w:rsidRPr="00D37313" w:rsidRDefault="007546AD" w:rsidP="00F9638C">
      <w:pPr>
        <w:pStyle w:val="Signatureline"/>
      </w:pPr>
      <w:r w:rsidRPr="00D37313">
        <w:t>Chief Executive</w:t>
      </w:r>
    </w:p>
    <w:p w14:paraId="2321FACD" w14:textId="77777777" w:rsidR="007546AD" w:rsidRPr="00D37313" w:rsidRDefault="007546AD" w:rsidP="00F9638C">
      <w:pPr>
        <w:pStyle w:val="Heading3"/>
      </w:pPr>
      <w:r w:rsidRPr="00D37313">
        <w:t>About Accountancy Europe</w:t>
      </w:r>
    </w:p>
    <w:p w14:paraId="2137557D" w14:textId="3EBAA7B2" w:rsidR="007546AD" w:rsidRPr="00D37313" w:rsidRDefault="007546AD" w:rsidP="00F9638C">
      <w:pPr>
        <w:pStyle w:val="Text"/>
      </w:pPr>
      <w:r w:rsidRPr="00D37313">
        <w:t>Accountancy Europe unites 51 professional organisations from 3</w:t>
      </w:r>
      <w:r w:rsidR="002D7261" w:rsidRPr="00D37313">
        <w:t>6</w:t>
      </w:r>
      <w:r w:rsidRPr="00D37313">
        <w:t xml:space="preserve"> countries that represent close to </w:t>
      </w:r>
      <w:r w:rsidRPr="00D37313">
        <w:rPr>
          <w:rStyle w:val="Emphasis"/>
        </w:rPr>
        <w:t>1 million</w:t>
      </w:r>
      <w:r w:rsidRPr="00D37313">
        <w:t xml:space="preserve"> professional accountants, auditors and advisors. They make numbers work for people. Accountancy Europe translates their daily experience to inform the public policy debate in Europe and beyond.</w:t>
      </w:r>
      <w:r w:rsidR="00727143" w:rsidRPr="00D37313">
        <w:t xml:space="preserve"> </w:t>
      </w:r>
      <w:r w:rsidRPr="00D37313">
        <w:t>Accountancy Europe is in the EU Transparency Register (No 4713568401-18)</w:t>
      </w:r>
    </w:p>
    <w:sectPr w:rsidR="007546AD" w:rsidRPr="00D37313" w:rsidSect="00DA0A74">
      <w:headerReference w:type="default" r:id="rId12"/>
      <w:footerReference w:type="default" r:id="rId13"/>
      <w:pgSz w:w="11907" w:h="16840" w:code="9"/>
      <w:pgMar w:top="1134" w:right="1418" w:bottom="1134" w:left="1418" w:header="850"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96126" w14:textId="77777777" w:rsidR="002D322C" w:rsidRDefault="002D322C" w:rsidP="000F4EAE">
      <w:pPr>
        <w:spacing w:after="0" w:line="240" w:lineRule="auto"/>
      </w:pPr>
      <w:r>
        <w:separator/>
      </w:r>
    </w:p>
  </w:endnote>
  <w:endnote w:type="continuationSeparator" w:id="0">
    <w:p w14:paraId="2200EE21" w14:textId="77777777" w:rsidR="002D322C" w:rsidRDefault="002D322C" w:rsidP="000F4EAE">
      <w:pPr>
        <w:spacing w:after="0" w:line="240" w:lineRule="auto"/>
      </w:pPr>
      <w:r>
        <w:continuationSeparator/>
      </w:r>
    </w:p>
  </w:endnote>
  <w:endnote w:type="continuationNotice" w:id="1">
    <w:p w14:paraId="0384D542" w14:textId="77777777" w:rsidR="002D322C" w:rsidRDefault="002D32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mus Titling Extrabold">
    <w:panose1 w:val="04000005030B00000004"/>
    <w:charset w:val="00"/>
    <w:family w:val="decorative"/>
    <w:notTrueType/>
    <w:pitch w:val="variable"/>
    <w:sig w:usb0="A0000027" w:usb1="0000004B" w:usb2="00000000" w:usb3="00000000" w:csb0="00000193" w:csb1="00000000"/>
  </w:font>
  <w:font w:name="Calibri">
    <w:panose1 w:val="020F0502020204030204"/>
    <w:charset w:val="00"/>
    <w:family w:val="swiss"/>
    <w:pitch w:val="variable"/>
    <w:sig w:usb0="E4002EFF" w:usb1="C000247B" w:usb2="00000009" w:usb3="00000000" w:csb0="000001FF" w:csb1="00000000"/>
    <w:embedRegular r:id="rId1" w:fontKey="{E90D0A55-0AD1-4461-A603-45E161AE12B6}"/>
  </w:font>
  <w:font w:name="HelveticaNeueLT Std">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81801BE5-AD59-4E27-96B5-FC94A5CB46BA}"/>
  </w:font>
  <w:font w:name="Helvetica">
    <w:panose1 w:val="020B0604020202020204"/>
    <w:charset w:val="00"/>
    <w:family w:val="swiss"/>
    <w:pitch w:val="variable"/>
    <w:sig w:usb0="A0002AAF" w:usb1="40000048" w:usb2="00000000" w:usb3="00000000" w:csb0="000001FF" w:csb1="00000000"/>
    <w:embedRegular r:id="rId3" w:fontKey="{8BD3B16F-7BCF-46AA-9052-D43F5F954055}"/>
    <w:embedBold r:id="rId4" w:fontKey="{EDB90B55-FDD9-4332-BA06-F161A7CFBC84}"/>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tblpX="74" w:tblpYSpec="bottom"/>
      <w:tblOverlap w:val="never"/>
      <w:tblW w:w="4806"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048"/>
      <w:gridCol w:w="2708"/>
      <w:gridCol w:w="1953"/>
    </w:tblGrid>
    <w:tr w:rsidR="00E35A15" w:rsidRPr="00F57CF7" w14:paraId="11887ADC" w14:textId="77777777" w:rsidTr="003E0F58">
      <w:trPr>
        <w:trHeight w:val="1247"/>
      </w:trPr>
      <w:tc>
        <w:tcPr>
          <w:tcW w:w="2324" w:type="pct"/>
        </w:tcPr>
        <w:p w14:paraId="7705A79D" w14:textId="010B2035" w:rsidR="00E35A15" w:rsidRPr="00BC42F7" w:rsidRDefault="002D322C" w:rsidP="00F9638C">
          <w:pPr>
            <w:widowControl w:val="0"/>
            <w:autoSpaceDE w:val="0"/>
            <w:autoSpaceDN w:val="0"/>
            <w:adjustRightInd w:val="0"/>
            <w:spacing w:line="288" w:lineRule="auto"/>
            <w:textAlignment w:val="center"/>
            <w:rPr>
              <w:rFonts w:ascii="HelveticaNeueLT Std" w:hAnsi="HelveticaNeueLT Std"/>
              <w:color w:val="808080" w:themeColor="accent2"/>
              <w:sz w:val="16"/>
              <w:szCs w:val="16"/>
              <w:lang w:val="de-DE"/>
            </w:rPr>
          </w:pPr>
          <w:hyperlink r:id="rId1" w:history="1">
            <w:r w:rsidR="00E35A15" w:rsidRPr="00BC42F7">
              <w:rPr>
                <w:rStyle w:val="Hyperlink"/>
                <w:rFonts w:ascii="HelveticaNeueLT Std" w:hAnsi="HelveticaNeueLT Std"/>
                <w:color w:val="808080" w:themeColor="accent2"/>
                <w:sz w:val="16"/>
                <w:szCs w:val="16"/>
                <w:lang w:val="de-DE"/>
              </w:rPr>
              <w:t>www.accountancyeurope.eu</w:t>
            </w:r>
          </w:hyperlink>
          <w:r w:rsidR="00E35A15" w:rsidRPr="00BC42F7">
            <w:rPr>
              <w:rFonts w:ascii="HelveticaNeueLT Std" w:hAnsi="HelveticaNeueLT Std"/>
              <w:color w:val="808080" w:themeColor="accent2"/>
              <w:sz w:val="16"/>
              <w:szCs w:val="16"/>
              <w:lang w:val="de-DE"/>
            </w:rPr>
            <w:br/>
            <w:t>Avenue d’Auderghem 22-28</w:t>
          </w:r>
          <w:r w:rsidR="00E35A15" w:rsidRPr="00BC42F7">
            <w:rPr>
              <w:rFonts w:ascii="HelveticaNeueLT Std" w:hAnsi="HelveticaNeueLT Std"/>
              <w:color w:val="808080" w:themeColor="accent2"/>
              <w:sz w:val="16"/>
              <w:szCs w:val="16"/>
              <w:lang w:val="de-DE"/>
            </w:rPr>
            <w:br/>
            <w:t>1040 Brussels</w:t>
          </w:r>
        </w:p>
      </w:tc>
      <w:tc>
        <w:tcPr>
          <w:tcW w:w="1555" w:type="pct"/>
        </w:tcPr>
        <w:p w14:paraId="2EFC214E" w14:textId="77777777" w:rsidR="00E35A15" w:rsidRDefault="00E35A15" w:rsidP="00F9638C">
          <w:pPr>
            <w:widowControl w:val="0"/>
            <w:autoSpaceDE w:val="0"/>
            <w:autoSpaceDN w:val="0"/>
            <w:adjustRightInd w:val="0"/>
            <w:spacing w:line="288" w:lineRule="auto"/>
            <w:textAlignment w:val="center"/>
            <w:rPr>
              <w:rFonts w:ascii="HelveticaNeueLT Std" w:hAnsi="HelveticaNeueLT Std"/>
              <w:color w:val="808080" w:themeColor="accent2"/>
              <w:sz w:val="16"/>
              <w:szCs w:val="16"/>
            </w:rPr>
          </w:pPr>
          <w:r w:rsidRPr="00F57CF7">
            <w:rPr>
              <w:rFonts w:ascii="HelveticaNeueLT Std" w:hAnsi="HelveticaNeueLT Std"/>
              <w:color w:val="808080" w:themeColor="accent2"/>
              <w:sz w:val="16"/>
              <w:szCs w:val="16"/>
            </w:rPr>
            <w:t>EU Transparency Register</w:t>
          </w:r>
          <w:r>
            <w:rPr>
              <w:rFonts w:ascii="HelveticaNeueLT Std" w:hAnsi="HelveticaNeueLT Std"/>
              <w:color w:val="808080" w:themeColor="accent2"/>
              <w:sz w:val="16"/>
              <w:szCs w:val="16"/>
            </w:rPr>
            <w:br/>
          </w:r>
          <w:r w:rsidRPr="00F57CF7">
            <w:rPr>
              <w:rFonts w:ascii="HelveticaNeueLT Std" w:hAnsi="HelveticaNeueLT Std"/>
              <w:color w:val="808080" w:themeColor="accent2"/>
              <w:sz w:val="16"/>
              <w:szCs w:val="16"/>
            </w:rPr>
            <w:t>4713568401-18</w:t>
          </w:r>
        </w:p>
        <w:p w14:paraId="19967D23" w14:textId="77777777" w:rsidR="00E35A15" w:rsidRPr="00F57CF7" w:rsidRDefault="00E35A15" w:rsidP="00F9638C">
          <w:pPr>
            <w:widowControl w:val="0"/>
            <w:autoSpaceDE w:val="0"/>
            <w:autoSpaceDN w:val="0"/>
            <w:adjustRightInd w:val="0"/>
            <w:spacing w:line="288" w:lineRule="auto"/>
            <w:textAlignment w:val="center"/>
            <w:rPr>
              <w:rFonts w:ascii="HelveticaNeueLT Std" w:hAnsi="HelveticaNeueLT Std"/>
              <w:color w:val="808080" w:themeColor="accent2"/>
              <w:sz w:val="18"/>
              <w:szCs w:val="18"/>
            </w:rPr>
          </w:pPr>
        </w:p>
      </w:tc>
      <w:tc>
        <w:tcPr>
          <w:tcW w:w="1121" w:type="pct"/>
          <w:vAlign w:val="center"/>
        </w:tcPr>
        <w:p w14:paraId="3D4B6C5A" w14:textId="77777777" w:rsidR="00E35A15" w:rsidRPr="00F57CF7" w:rsidRDefault="00E35A15" w:rsidP="00F9638C">
          <w:pPr>
            <w:widowControl w:val="0"/>
            <w:autoSpaceDE w:val="0"/>
            <w:autoSpaceDN w:val="0"/>
            <w:adjustRightInd w:val="0"/>
            <w:spacing w:line="288" w:lineRule="auto"/>
            <w:jc w:val="right"/>
            <w:textAlignment w:val="center"/>
            <w:rPr>
              <w:rStyle w:val="Emphasis"/>
              <w:color w:val="808080" w:themeColor="accent2"/>
            </w:rPr>
          </w:pPr>
          <w:r w:rsidRPr="00F57CF7">
            <w:rPr>
              <w:rFonts w:ascii="HelveticaNeueLT Std" w:hAnsi="HelveticaNeueLT Std"/>
              <w:noProof/>
              <w:color w:val="808080" w:themeColor="accent2"/>
              <w:sz w:val="18"/>
              <w:szCs w:val="18"/>
              <w:lang w:eastAsia="en-GB"/>
            </w:rPr>
            <w:drawing>
              <wp:anchor distT="0" distB="0" distL="114300" distR="114300" simplePos="0" relativeHeight="251658240" behindDoc="1" locked="0" layoutInCell="1" allowOverlap="1" wp14:anchorId="3BDE0C4F" wp14:editId="508B09FD">
                <wp:simplePos x="0" y="0"/>
                <wp:positionH relativeFrom="column">
                  <wp:posOffset>903605</wp:posOffset>
                </wp:positionH>
                <wp:positionV relativeFrom="paragraph">
                  <wp:posOffset>-252730</wp:posOffset>
                </wp:positionV>
                <wp:extent cx="555625" cy="3714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ausePeopleCount.png"/>
                        <pic:cNvPicPr/>
                      </pic:nvPicPr>
                      <pic:blipFill rotWithShape="1">
                        <a:blip r:embed="rId2">
                          <a:extLst>
                            <a:ext uri="{28A0092B-C50C-407E-A947-70E740481C1C}">
                              <a14:useLocalDpi xmlns:a14="http://schemas.microsoft.com/office/drawing/2010/main" val="0"/>
                            </a:ext>
                          </a:extLst>
                        </a:blip>
                        <a:srcRect l="17191" t="17668" r="20884" b="13427"/>
                        <a:stretch/>
                      </pic:blipFill>
                      <pic:spPr bwMode="auto">
                        <a:xfrm>
                          <a:off x="0" y="0"/>
                          <a:ext cx="555625" cy="37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3813BE4" w14:textId="5D4CFA0D" w:rsidR="00E35A15" w:rsidRDefault="00E35A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8FA60" w14:textId="77777777" w:rsidR="002D322C" w:rsidRDefault="002D322C" w:rsidP="000F4EAE">
      <w:pPr>
        <w:spacing w:after="0" w:line="240" w:lineRule="auto"/>
      </w:pPr>
      <w:r>
        <w:separator/>
      </w:r>
    </w:p>
  </w:footnote>
  <w:footnote w:type="continuationSeparator" w:id="0">
    <w:p w14:paraId="29418813" w14:textId="77777777" w:rsidR="002D322C" w:rsidRDefault="002D322C" w:rsidP="000F4EAE">
      <w:pPr>
        <w:spacing w:after="0" w:line="240" w:lineRule="auto"/>
      </w:pPr>
      <w:r>
        <w:continuationSeparator/>
      </w:r>
    </w:p>
  </w:footnote>
  <w:footnote w:type="continuationNotice" w:id="1">
    <w:p w14:paraId="7CCF5A1F" w14:textId="77777777" w:rsidR="002D322C" w:rsidRDefault="002D32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286A4" w14:textId="77B5C85C" w:rsidR="00E35A15" w:rsidRDefault="00E35A15" w:rsidP="007546AD">
    <w:pPr>
      <w:pStyle w:val="Header"/>
      <w:spacing w:after="1400"/>
    </w:pPr>
    <w:r>
      <w:rPr>
        <w:noProof/>
        <w:lang w:eastAsia="en-GB"/>
      </w:rPr>
      <w:drawing>
        <wp:anchor distT="0" distB="0" distL="114300" distR="114300" simplePos="0" relativeHeight="251658241" behindDoc="0" locked="1" layoutInCell="1" allowOverlap="1" wp14:anchorId="421C194E" wp14:editId="4F58825E">
          <wp:simplePos x="0" y="0"/>
          <wp:positionH relativeFrom="margin">
            <wp:align>left</wp:align>
          </wp:positionH>
          <wp:positionV relativeFrom="page">
            <wp:posOffset>540385</wp:posOffset>
          </wp:positionV>
          <wp:extent cx="1962000" cy="792000"/>
          <wp:effectExtent l="0" t="0" r="635"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ountancyEurope_pos_logo_rgb.png"/>
                  <pic:cNvPicPr/>
                </pic:nvPicPr>
                <pic:blipFill>
                  <a:blip r:embed="rId1">
                    <a:extLst>
                      <a:ext uri="{28A0092B-C50C-407E-A947-70E740481C1C}">
                        <a14:useLocalDpi xmlns:a14="http://schemas.microsoft.com/office/drawing/2010/main" val="0"/>
                      </a:ext>
                    </a:extLst>
                  </a:blip>
                  <a:stretch>
                    <a:fillRect/>
                  </a:stretch>
                </pic:blipFill>
                <pic:spPr>
                  <a:xfrm>
                    <a:off x="0" y="0"/>
                    <a:ext cx="1962000" cy="7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6.75pt;height:96.75pt;visibility:visible;mso-wrap-style:square" o:bullet="t">
        <v:imagedata r:id="rId1" o:title="" croptop="18579f" cropbottom="14344f" cropleft="8170f" cropright="12983f"/>
      </v:shape>
    </w:pict>
  </w:numPicBullet>
  <w:abstractNum w:abstractNumId="0" w15:restartNumberingAfterBreak="0">
    <w:nsid w:val="04CC2FC4"/>
    <w:multiLevelType w:val="hybridMultilevel"/>
    <w:tmpl w:val="6AA6E066"/>
    <w:lvl w:ilvl="0" w:tplc="8624BC52">
      <w:start w:val="1"/>
      <w:numFmt w:val="decimal"/>
      <w:lvlText w:val="%1."/>
      <w:lvlJc w:val="left"/>
      <w:pPr>
        <w:ind w:left="4346" w:hanging="360"/>
      </w:pPr>
    </w:lvl>
    <w:lvl w:ilvl="1" w:tplc="08090019">
      <w:start w:val="1"/>
      <w:numFmt w:val="lowerLetter"/>
      <w:lvlText w:val="%2."/>
      <w:lvlJc w:val="left"/>
      <w:pPr>
        <w:ind w:left="5066" w:hanging="360"/>
      </w:pPr>
    </w:lvl>
    <w:lvl w:ilvl="2" w:tplc="0809001B" w:tentative="1">
      <w:start w:val="1"/>
      <w:numFmt w:val="lowerRoman"/>
      <w:lvlText w:val="%3."/>
      <w:lvlJc w:val="right"/>
      <w:pPr>
        <w:ind w:left="5786" w:hanging="180"/>
      </w:pPr>
    </w:lvl>
    <w:lvl w:ilvl="3" w:tplc="0809000F" w:tentative="1">
      <w:start w:val="1"/>
      <w:numFmt w:val="decimal"/>
      <w:lvlText w:val="%4."/>
      <w:lvlJc w:val="left"/>
      <w:pPr>
        <w:ind w:left="6506" w:hanging="360"/>
      </w:pPr>
    </w:lvl>
    <w:lvl w:ilvl="4" w:tplc="08090019" w:tentative="1">
      <w:start w:val="1"/>
      <w:numFmt w:val="lowerLetter"/>
      <w:lvlText w:val="%5."/>
      <w:lvlJc w:val="left"/>
      <w:pPr>
        <w:ind w:left="7226" w:hanging="360"/>
      </w:pPr>
    </w:lvl>
    <w:lvl w:ilvl="5" w:tplc="0809001B" w:tentative="1">
      <w:start w:val="1"/>
      <w:numFmt w:val="lowerRoman"/>
      <w:lvlText w:val="%6."/>
      <w:lvlJc w:val="right"/>
      <w:pPr>
        <w:ind w:left="7946" w:hanging="180"/>
      </w:pPr>
    </w:lvl>
    <w:lvl w:ilvl="6" w:tplc="0809000F" w:tentative="1">
      <w:start w:val="1"/>
      <w:numFmt w:val="decimal"/>
      <w:lvlText w:val="%7."/>
      <w:lvlJc w:val="left"/>
      <w:pPr>
        <w:ind w:left="8666" w:hanging="360"/>
      </w:pPr>
    </w:lvl>
    <w:lvl w:ilvl="7" w:tplc="08090019" w:tentative="1">
      <w:start w:val="1"/>
      <w:numFmt w:val="lowerLetter"/>
      <w:lvlText w:val="%8."/>
      <w:lvlJc w:val="left"/>
      <w:pPr>
        <w:ind w:left="9386" w:hanging="360"/>
      </w:pPr>
    </w:lvl>
    <w:lvl w:ilvl="8" w:tplc="0809001B" w:tentative="1">
      <w:start w:val="1"/>
      <w:numFmt w:val="lowerRoman"/>
      <w:lvlText w:val="%9."/>
      <w:lvlJc w:val="right"/>
      <w:pPr>
        <w:ind w:left="10106" w:hanging="180"/>
      </w:pPr>
    </w:lvl>
  </w:abstractNum>
  <w:abstractNum w:abstractNumId="1" w15:restartNumberingAfterBreak="0">
    <w:nsid w:val="08637070"/>
    <w:multiLevelType w:val="hybridMultilevel"/>
    <w:tmpl w:val="AEE87CF8"/>
    <w:lvl w:ilvl="0" w:tplc="B038E2B4">
      <w:start w:val="1"/>
      <w:numFmt w:val="bullet"/>
      <w:lvlText w:val=""/>
      <w:lvlPicBulletId w:val="0"/>
      <w:lvlJc w:val="left"/>
      <w:pPr>
        <w:tabs>
          <w:tab w:val="num" w:pos="360"/>
        </w:tabs>
        <w:ind w:left="360" w:hanging="360"/>
      </w:pPr>
      <w:rPr>
        <w:rFonts w:ascii="Symbol" w:hAnsi="Symbol" w:hint="default"/>
      </w:rPr>
    </w:lvl>
    <w:lvl w:ilvl="1" w:tplc="9710C75C" w:tentative="1">
      <w:start w:val="1"/>
      <w:numFmt w:val="bullet"/>
      <w:lvlText w:val=""/>
      <w:lvlJc w:val="left"/>
      <w:pPr>
        <w:tabs>
          <w:tab w:val="num" w:pos="1080"/>
        </w:tabs>
        <w:ind w:left="1080" w:hanging="360"/>
      </w:pPr>
      <w:rPr>
        <w:rFonts w:ascii="Symbol" w:hAnsi="Symbol" w:hint="default"/>
      </w:rPr>
    </w:lvl>
    <w:lvl w:ilvl="2" w:tplc="D25A6E9A" w:tentative="1">
      <w:start w:val="1"/>
      <w:numFmt w:val="bullet"/>
      <w:lvlText w:val=""/>
      <w:lvlJc w:val="left"/>
      <w:pPr>
        <w:tabs>
          <w:tab w:val="num" w:pos="1800"/>
        </w:tabs>
        <w:ind w:left="1800" w:hanging="360"/>
      </w:pPr>
      <w:rPr>
        <w:rFonts w:ascii="Symbol" w:hAnsi="Symbol" w:hint="default"/>
      </w:rPr>
    </w:lvl>
    <w:lvl w:ilvl="3" w:tplc="8E88A260" w:tentative="1">
      <w:start w:val="1"/>
      <w:numFmt w:val="bullet"/>
      <w:lvlText w:val=""/>
      <w:lvlJc w:val="left"/>
      <w:pPr>
        <w:tabs>
          <w:tab w:val="num" w:pos="2520"/>
        </w:tabs>
        <w:ind w:left="2520" w:hanging="360"/>
      </w:pPr>
      <w:rPr>
        <w:rFonts w:ascii="Symbol" w:hAnsi="Symbol" w:hint="default"/>
      </w:rPr>
    </w:lvl>
    <w:lvl w:ilvl="4" w:tplc="E6CCE3A0" w:tentative="1">
      <w:start w:val="1"/>
      <w:numFmt w:val="bullet"/>
      <w:lvlText w:val=""/>
      <w:lvlJc w:val="left"/>
      <w:pPr>
        <w:tabs>
          <w:tab w:val="num" w:pos="3240"/>
        </w:tabs>
        <w:ind w:left="3240" w:hanging="360"/>
      </w:pPr>
      <w:rPr>
        <w:rFonts w:ascii="Symbol" w:hAnsi="Symbol" w:hint="default"/>
      </w:rPr>
    </w:lvl>
    <w:lvl w:ilvl="5" w:tplc="0174FC50" w:tentative="1">
      <w:start w:val="1"/>
      <w:numFmt w:val="bullet"/>
      <w:lvlText w:val=""/>
      <w:lvlJc w:val="left"/>
      <w:pPr>
        <w:tabs>
          <w:tab w:val="num" w:pos="3960"/>
        </w:tabs>
        <w:ind w:left="3960" w:hanging="360"/>
      </w:pPr>
      <w:rPr>
        <w:rFonts w:ascii="Symbol" w:hAnsi="Symbol" w:hint="default"/>
      </w:rPr>
    </w:lvl>
    <w:lvl w:ilvl="6" w:tplc="1A020B58" w:tentative="1">
      <w:start w:val="1"/>
      <w:numFmt w:val="bullet"/>
      <w:lvlText w:val=""/>
      <w:lvlJc w:val="left"/>
      <w:pPr>
        <w:tabs>
          <w:tab w:val="num" w:pos="4680"/>
        </w:tabs>
        <w:ind w:left="4680" w:hanging="360"/>
      </w:pPr>
      <w:rPr>
        <w:rFonts w:ascii="Symbol" w:hAnsi="Symbol" w:hint="default"/>
      </w:rPr>
    </w:lvl>
    <w:lvl w:ilvl="7" w:tplc="97262FAC" w:tentative="1">
      <w:start w:val="1"/>
      <w:numFmt w:val="bullet"/>
      <w:lvlText w:val=""/>
      <w:lvlJc w:val="left"/>
      <w:pPr>
        <w:tabs>
          <w:tab w:val="num" w:pos="5400"/>
        </w:tabs>
        <w:ind w:left="5400" w:hanging="360"/>
      </w:pPr>
      <w:rPr>
        <w:rFonts w:ascii="Symbol" w:hAnsi="Symbol" w:hint="default"/>
      </w:rPr>
    </w:lvl>
    <w:lvl w:ilvl="8" w:tplc="2F20427E"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0FC6448C"/>
    <w:multiLevelType w:val="hybridMultilevel"/>
    <w:tmpl w:val="BD18CBE6"/>
    <w:lvl w:ilvl="0" w:tplc="1026DC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B3541"/>
    <w:multiLevelType w:val="hybridMultilevel"/>
    <w:tmpl w:val="8BDE35A8"/>
    <w:lvl w:ilvl="0" w:tplc="0F86CE0C">
      <w:start w:val="1"/>
      <w:numFmt w:val="decimal"/>
      <w:pStyle w:val="Questionnumbered1"/>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13AC740F"/>
    <w:multiLevelType w:val="hybridMultilevel"/>
    <w:tmpl w:val="79E493F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70FB0"/>
    <w:multiLevelType w:val="multilevel"/>
    <w:tmpl w:val="57CCBD5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4886B2B"/>
    <w:multiLevelType w:val="hybridMultilevel"/>
    <w:tmpl w:val="D4C07F3C"/>
    <w:lvl w:ilvl="0" w:tplc="9158784A">
      <w:start w:val="1"/>
      <w:numFmt w:val="decimal"/>
      <w:lvlText w:val="%1."/>
      <w:lvlJc w:val="left"/>
      <w:pPr>
        <w:ind w:left="489" w:hanging="358"/>
      </w:pPr>
      <w:rPr>
        <w:rFonts w:asciiTheme="majorHAnsi" w:eastAsia="Times New Roman" w:hAnsiTheme="majorHAnsi" w:hint="default"/>
        <w:b/>
        <w:bCs/>
        <w:color w:val="4E81BC"/>
        <w:spacing w:val="1"/>
        <w:sz w:val="24"/>
        <w:szCs w:val="24"/>
      </w:rPr>
    </w:lvl>
    <w:lvl w:ilvl="1" w:tplc="08090019" w:tentative="1">
      <w:start w:val="1"/>
      <w:numFmt w:val="lowerLetter"/>
      <w:lvlText w:val="%2."/>
      <w:lvlJc w:val="left"/>
      <w:pPr>
        <w:ind w:left="1211" w:hanging="360"/>
      </w:pPr>
    </w:lvl>
    <w:lvl w:ilvl="2" w:tplc="0809001B" w:tentative="1">
      <w:start w:val="1"/>
      <w:numFmt w:val="lowerRoman"/>
      <w:lvlText w:val="%3."/>
      <w:lvlJc w:val="right"/>
      <w:pPr>
        <w:ind w:left="1931" w:hanging="180"/>
      </w:pPr>
    </w:lvl>
    <w:lvl w:ilvl="3" w:tplc="0809000F" w:tentative="1">
      <w:start w:val="1"/>
      <w:numFmt w:val="decimal"/>
      <w:lvlText w:val="%4."/>
      <w:lvlJc w:val="left"/>
      <w:pPr>
        <w:ind w:left="2651" w:hanging="360"/>
      </w:pPr>
    </w:lvl>
    <w:lvl w:ilvl="4" w:tplc="08090019" w:tentative="1">
      <w:start w:val="1"/>
      <w:numFmt w:val="lowerLetter"/>
      <w:lvlText w:val="%5."/>
      <w:lvlJc w:val="left"/>
      <w:pPr>
        <w:ind w:left="3371" w:hanging="360"/>
      </w:pPr>
    </w:lvl>
    <w:lvl w:ilvl="5" w:tplc="0809001B" w:tentative="1">
      <w:start w:val="1"/>
      <w:numFmt w:val="lowerRoman"/>
      <w:lvlText w:val="%6."/>
      <w:lvlJc w:val="right"/>
      <w:pPr>
        <w:ind w:left="4091" w:hanging="180"/>
      </w:pPr>
    </w:lvl>
    <w:lvl w:ilvl="6" w:tplc="0809000F" w:tentative="1">
      <w:start w:val="1"/>
      <w:numFmt w:val="decimal"/>
      <w:lvlText w:val="%7."/>
      <w:lvlJc w:val="left"/>
      <w:pPr>
        <w:ind w:left="4811" w:hanging="360"/>
      </w:pPr>
    </w:lvl>
    <w:lvl w:ilvl="7" w:tplc="08090019" w:tentative="1">
      <w:start w:val="1"/>
      <w:numFmt w:val="lowerLetter"/>
      <w:lvlText w:val="%8."/>
      <w:lvlJc w:val="left"/>
      <w:pPr>
        <w:ind w:left="5531" w:hanging="360"/>
      </w:pPr>
    </w:lvl>
    <w:lvl w:ilvl="8" w:tplc="0809001B" w:tentative="1">
      <w:start w:val="1"/>
      <w:numFmt w:val="lowerRoman"/>
      <w:lvlText w:val="%9."/>
      <w:lvlJc w:val="right"/>
      <w:pPr>
        <w:ind w:left="6251" w:hanging="180"/>
      </w:pPr>
    </w:lvl>
  </w:abstractNum>
  <w:abstractNum w:abstractNumId="7" w15:restartNumberingAfterBreak="0">
    <w:nsid w:val="1A7F2926"/>
    <w:multiLevelType w:val="hybridMultilevel"/>
    <w:tmpl w:val="3BB29B6E"/>
    <w:lvl w:ilvl="0" w:tplc="7A0ED946">
      <w:start w:val="1"/>
      <w:numFmt w:val="decimal"/>
      <w:pStyle w:val="Agendaitem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B515E8"/>
    <w:multiLevelType w:val="hybridMultilevel"/>
    <w:tmpl w:val="10E6C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6B2860"/>
    <w:multiLevelType w:val="hybridMultilevel"/>
    <w:tmpl w:val="2C5C4C10"/>
    <w:lvl w:ilvl="0" w:tplc="DCAC407C">
      <w:start w:val="1"/>
      <w:numFmt w:val="bullet"/>
      <w:pStyle w:val="TextListBullets"/>
      <w:lvlText w:val=""/>
      <w:lvlJc w:val="left"/>
      <w:pPr>
        <w:ind w:left="720" w:hanging="360"/>
      </w:pPr>
      <w:rPr>
        <w:rFonts w:ascii="Symbol" w:hAnsi="Symbol" w:hint="default"/>
        <w:lang w:val="en-US"/>
      </w:rPr>
    </w:lvl>
    <w:lvl w:ilvl="1" w:tplc="080C0003">
      <w:start w:val="1"/>
      <w:numFmt w:val="bullet"/>
      <w:lvlText w:val="o"/>
      <w:lvlJc w:val="left"/>
      <w:pPr>
        <w:ind w:left="1440" w:hanging="360"/>
      </w:pPr>
      <w:rPr>
        <w:rFonts w:ascii="Courier New" w:hAnsi="Courier New" w:cs="Courier New" w:hint="default"/>
      </w:rPr>
    </w:lvl>
    <w:lvl w:ilvl="2" w:tplc="F87E9318">
      <w:start w:val="1"/>
      <w:numFmt w:val="bullet"/>
      <w:lvlText w:val="-"/>
      <w:lvlJc w:val="left"/>
      <w:pPr>
        <w:ind w:left="2160" w:hanging="360"/>
      </w:pPr>
      <w:rPr>
        <w:rFonts w:ascii="Calibri" w:hAnsi="Calibri" w:hint="default"/>
      </w:rPr>
    </w:lvl>
    <w:lvl w:ilvl="3" w:tplc="D108D9CE">
      <w:numFmt w:val="bullet"/>
      <w:lvlText w:val="-"/>
      <w:lvlJc w:val="left"/>
      <w:pPr>
        <w:ind w:left="2880" w:hanging="360"/>
      </w:pPr>
      <w:rPr>
        <w:rFonts w:ascii="Calibri" w:eastAsiaTheme="minorHAnsi" w:hAnsi="Calibri" w:cstheme="minorBid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77E5015"/>
    <w:multiLevelType w:val="hybridMultilevel"/>
    <w:tmpl w:val="F4E6D5BC"/>
    <w:lvl w:ilvl="0" w:tplc="2384DA90">
      <w:start w:val="1"/>
      <w:numFmt w:val="decimal"/>
      <w:lvlText w:val="(%1)"/>
      <w:lvlJc w:val="left"/>
      <w:pPr>
        <w:ind w:left="720" w:hanging="360"/>
      </w:pPr>
      <w:rPr>
        <w:rFonts w:hint="default"/>
        <w:color w:val="808080" w:themeColor="background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C4682"/>
    <w:multiLevelType w:val="multilevel"/>
    <w:tmpl w:val="08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11F24E8"/>
    <w:multiLevelType w:val="hybridMultilevel"/>
    <w:tmpl w:val="53F43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BC45F3"/>
    <w:multiLevelType w:val="hybridMultilevel"/>
    <w:tmpl w:val="9CB6928E"/>
    <w:lvl w:ilvl="0" w:tplc="BBCAA75A">
      <w:start w:val="1"/>
      <w:numFmt w:val="decimal"/>
      <w:pStyle w:val="TextNumberedParagraphs"/>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32F110EC"/>
    <w:multiLevelType w:val="hybridMultilevel"/>
    <w:tmpl w:val="353CA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DA093F"/>
    <w:multiLevelType w:val="hybridMultilevel"/>
    <w:tmpl w:val="584E4454"/>
    <w:lvl w:ilvl="0" w:tplc="7DD61EF6">
      <w:start w:val="1"/>
      <w:numFmt w:val="decimal"/>
      <w:pStyle w:val="BoardText"/>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808080" w:themeColor="background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996" w:hanging="360"/>
      </w:pPr>
    </w:lvl>
    <w:lvl w:ilvl="2" w:tplc="080C001B">
      <w:start w:val="1"/>
      <w:numFmt w:val="lowerRoman"/>
      <w:lvlText w:val="%3."/>
      <w:lvlJc w:val="right"/>
      <w:pPr>
        <w:ind w:left="2716" w:hanging="180"/>
      </w:pPr>
    </w:lvl>
    <w:lvl w:ilvl="3" w:tplc="080C000F" w:tentative="1">
      <w:start w:val="1"/>
      <w:numFmt w:val="decimal"/>
      <w:lvlText w:val="%4."/>
      <w:lvlJc w:val="left"/>
      <w:pPr>
        <w:ind w:left="3436" w:hanging="360"/>
      </w:pPr>
    </w:lvl>
    <w:lvl w:ilvl="4" w:tplc="080C0019" w:tentative="1">
      <w:start w:val="1"/>
      <w:numFmt w:val="lowerLetter"/>
      <w:lvlText w:val="%5."/>
      <w:lvlJc w:val="left"/>
      <w:pPr>
        <w:ind w:left="4156" w:hanging="360"/>
      </w:pPr>
    </w:lvl>
    <w:lvl w:ilvl="5" w:tplc="080C001B" w:tentative="1">
      <w:start w:val="1"/>
      <w:numFmt w:val="lowerRoman"/>
      <w:lvlText w:val="%6."/>
      <w:lvlJc w:val="right"/>
      <w:pPr>
        <w:ind w:left="4876" w:hanging="180"/>
      </w:pPr>
    </w:lvl>
    <w:lvl w:ilvl="6" w:tplc="080C000F" w:tentative="1">
      <w:start w:val="1"/>
      <w:numFmt w:val="decimal"/>
      <w:lvlText w:val="%7."/>
      <w:lvlJc w:val="left"/>
      <w:pPr>
        <w:ind w:left="5596" w:hanging="360"/>
      </w:pPr>
    </w:lvl>
    <w:lvl w:ilvl="7" w:tplc="080C0019" w:tentative="1">
      <w:start w:val="1"/>
      <w:numFmt w:val="lowerLetter"/>
      <w:lvlText w:val="%8."/>
      <w:lvlJc w:val="left"/>
      <w:pPr>
        <w:ind w:left="6316" w:hanging="360"/>
      </w:pPr>
    </w:lvl>
    <w:lvl w:ilvl="8" w:tplc="080C001B" w:tentative="1">
      <w:start w:val="1"/>
      <w:numFmt w:val="lowerRoman"/>
      <w:lvlText w:val="%9."/>
      <w:lvlJc w:val="right"/>
      <w:pPr>
        <w:ind w:left="7036" w:hanging="180"/>
      </w:pPr>
    </w:lvl>
  </w:abstractNum>
  <w:abstractNum w:abstractNumId="16" w15:restartNumberingAfterBreak="0">
    <w:nsid w:val="48F2214F"/>
    <w:multiLevelType w:val="hybridMultilevel"/>
    <w:tmpl w:val="224E4FFA"/>
    <w:lvl w:ilvl="0" w:tplc="EE2EE3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2F57DE"/>
    <w:multiLevelType w:val="hybridMultilevel"/>
    <w:tmpl w:val="5502BA00"/>
    <w:lvl w:ilvl="0" w:tplc="B2B2DA90">
      <w:start w:val="1"/>
      <w:numFmt w:val="decimal"/>
      <w:pStyle w:val="TextDraft"/>
      <w:lvlText w:val="(%1)"/>
      <w:lvlJc w:val="right"/>
      <w:pPr>
        <w:ind w:left="184" w:hanging="360"/>
      </w:pPr>
      <w:rPr>
        <w:rFonts w:hint="default"/>
      </w:rPr>
    </w:lvl>
    <w:lvl w:ilvl="1" w:tplc="04090019" w:tentative="1">
      <w:start w:val="1"/>
      <w:numFmt w:val="lowerLetter"/>
      <w:lvlText w:val="%2."/>
      <w:lvlJc w:val="left"/>
      <w:pPr>
        <w:ind w:left="1264" w:hanging="360"/>
      </w:pPr>
    </w:lvl>
    <w:lvl w:ilvl="2" w:tplc="0409001B" w:tentative="1">
      <w:start w:val="1"/>
      <w:numFmt w:val="lowerRoman"/>
      <w:lvlText w:val="%3."/>
      <w:lvlJc w:val="right"/>
      <w:pPr>
        <w:ind w:left="1984" w:hanging="180"/>
      </w:pPr>
    </w:lvl>
    <w:lvl w:ilvl="3" w:tplc="0409000F" w:tentative="1">
      <w:start w:val="1"/>
      <w:numFmt w:val="decimal"/>
      <w:lvlText w:val="%4."/>
      <w:lvlJc w:val="left"/>
      <w:pPr>
        <w:ind w:left="2704" w:hanging="360"/>
      </w:pPr>
    </w:lvl>
    <w:lvl w:ilvl="4" w:tplc="04090019" w:tentative="1">
      <w:start w:val="1"/>
      <w:numFmt w:val="lowerLetter"/>
      <w:lvlText w:val="%5."/>
      <w:lvlJc w:val="left"/>
      <w:pPr>
        <w:ind w:left="3424" w:hanging="360"/>
      </w:pPr>
    </w:lvl>
    <w:lvl w:ilvl="5" w:tplc="0409001B" w:tentative="1">
      <w:start w:val="1"/>
      <w:numFmt w:val="lowerRoman"/>
      <w:lvlText w:val="%6."/>
      <w:lvlJc w:val="right"/>
      <w:pPr>
        <w:ind w:left="4144" w:hanging="180"/>
      </w:pPr>
    </w:lvl>
    <w:lvl w:ilvl="6" w:tplc="0409000F" w:tentative="1">
      <w:start w:val="1"/>
      <w:numFmt w:val="decimal"/>
      <w:lvlText w:val="%7."/>
      <w:lvlJc w:val="left"/>
      <w:pPr>
        <w:ind w:left="4864" w:hanging="360"/>
      </w:pPr>
    </w:lvl>
    <w:lvl w:ilvl="7" w:tplc="04090019" w:tentative="1">
      <w:start w:val="1"/>
      <w:numFmt w:val="lowerLetter"/>
      <w:lvlText w:val="%8."/>
      <w:lvlJc w:val="left"/>
      <w:pPr>
        <w:ind w:left="5584" w:hanging="360"/>
      </w:pPr>
    </w:lvl>
    <w:lvl w:ilvl="8" w:tplc="0409001B" w:tentative="1">
      <w:start w:val="1"/>
      <w:numFmt w:val="lowerRoman"/>
      <w:lvlText w:val="%9."/>
      <w:lvlJc w:val="right"/>
      <w:pPr>
        <w:ind w:left="6304" w:hanging="180"/>
      </w:pPr>
    </w:lvl>
  </w:abstractNum>
  <w:abstractNum w:abstractNumId="18" w15:restartNumberingAfterBreak="0">
    <w:nsid w:val="4BE308D8"/>
    <w:multiLevelType w:val="hybridMultilevel"/>
    <w:tmpl w:val="28105DBA"/>
    <w:lvl w:ilvl="0" w:tplc="3C18C22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F658AF"/>
    <w:multiLevelType w:val="hybridMultilevel"/>
    <w:tmpl w:val="7EA4D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436299"/>
    <w:multiLevelType w:val="hybridMultilevel"/>
    <w:tmpl w:val="859898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D07ABF"/>
    <w:multiLevelType w:val="hybridMultilevel"/>
    <w:tmpl w:val="0896B81A"/>
    <w:lvl w:ilvl="0" w:tplc="4BCC6736">
      <w:start w:val="1"/>
      <w:numFmt w:val="decimal"/>
      <w:lvlText w:val="(%1)"/>
      <w:lvlJc w:val="left"/>
      <w:pPr>
        <w:ind w:left="360" w:hanging="360"/>
      </w:pPr>
      <w:rPr>
        <w:rFonts w:hint="default"/>
        <w:color w:val="808080" w:themeColor="background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ED5007"/>
    <w:multiLevelType w:val="hybridMultilevel"/>
    <w:tmpl w:val="C8F27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353"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D4290B"/>
    <w:multiLevelType w:val="hybridMultilevel"/>
    <w:tmpl w:val="6C4C1BFA"/>
    <w:lvl w:ilvl="0" w:tplc="971CAE9E">
      <w:start w:val="1"/>
      <w:numFmt w:val="bullet"/>
      <w:lvlText w:val=""/>
      <w:lvlPicBulletId w:val="0"/>
      <w:lvlJc w:val="left"/>
      <w:pPr>
        <w:tabs>
          <w:tab w:val="num" w:pos="720"/>
        </w:tabs>
        <w:ind w:left="720" w:hanging="360"/>
      </w:pPr>
      <w:rPr>
        <w:rFonts w:ascii="Symbol" w:hAnsi="Symbol" w:hint="default"/>
      </w:rPr>
    </w:lvl>
    <w:lvl w:ilvl="1" w:tplc="81C84C4C" w:tentative="1">
      <w:start w:val="1"/>
      <w:numFmt w:val="bullet"/>
      <w:lvlText w:val=""/>
      <w:lvlJc w:val="left"/>
      <w:pPr>
        <w:tabs>
          <w:tab w:val="num" w:pos="1440"/>
        </w:tabs>
        <w:ind w:left="1440" w:hanging="360"/>
      </w:pPr>
      <w:rPr>
        <w:rFonts w:ascii="Symbol" w:hAnsi="Symbol" w:hint="default"/>
      </w:rPr>
    </w:lvl>
    <w:lvl w:ilvl="2" w:tplc="7EA044E0" w:tentative="1">
      <w:start w:val="1"/>
      <w:numFmt w:val="bullet"/>
      <w:lvlText w:val=""/>
      <w:lvlJc w:val="left"/>
      <w:pPr>
        <w:tabs>
          <w:tab w:val="num" w:pos="2160"/>
        </w:tabs>
        <w:ind w:left="2160" w:hanging="360"/>
      </w:pPr>
      <w:rPr>
        <w:rFonts w:ascii="Symbol" w:hAnsi="Symbol" w:hint="default"/>
      </w:rPr>
    </w:lvl>
    <w:lvl w:ilvl="3" w:tplc="DBB2C66A" w:tentative="1">
      <w:start w:val="1"/>
      <w:numFmt w:val="bullet"/>
      <w:lvlText w:val=""/>
      <w:lvlJc w:val="left"/>
      <w:pPr>
        <w:tabs>
          <w:tab w:val="num" w:pos="2880"/>
        </w:tabs>
        <w:ind w:left="2880" w:hanging="360"/>
      </w:pPr>
      <w:rPr>
        <w:rFonts w:ascii="Symbol" w:hAnsi="Symbol" w:hint="default"/>
      </w:rPr>
    </w:lvl>
    <w:lvl w:ilvl="4" w:tplc="649A04CE" w:tentative="1">
      <w:start w:val="1"/>
      <w:numFmt w:val="bullet"/>
      <w:lvlText w:val=""/>
      <w:lvlJc w:val="left"/>
      <w:pPr>
        <w:tabs>
          <w:tab w:val="num" w:pos="3600"/>
        </w:tabs>
        <w:ind w:left="3600" w:hanging="360"/>
      </w:pPr>
      <w:rPr>
        <w:rFonts w:ascii="Symbol" w:hAnsi="Symbol" w:hint="default"/>
      </w:rPr>
    </w:lvl>
    <w:lvl w:ilvl="5" w:tplc="A3E886E6" w:tentative="1">
      <w:start w:val="1"/>
      <w:numFmt w:val="bullet"/>
      <w:lvlText w:val=""/>
      <w:lvlJc w:val="left"/>
      <w:pPr>
        <w:tabs>
          <w:tab w:val="num" w:pos="4320"/>
        </w:tabs>
        <w:ind w:left="4320" w:hanging="360"/>
      </w:pPr>
      <w:rPr>
        <w:rFonts w:ascii="Symbol" w:hAnsi="Symbol" w:hint="default"/>
      </w:rPr>
    </w:lvl>
    <w:lvl w:ilvl="6" w:tplc="9946B786" w:tentative="1">
      <w:start w:val="1"/>
      <w:numFmt w:val="bullet"/>
      <w:lvlText w:val=""/>
      <w:lvlJc w:val="left"/>
      <w:pPr>
        <w:tabs>
          <w:tab w:val="num" w:pos="5040"/>
        </w:tabs>
        <w:ind w:left="5040" w:hanging="360"/>
      </w:pPr>
      <w:rPr>
        <w:rFonts w:ascii="Symbol" w:hAnsi="Symbol" w:hint="default"/>
      </w:rPr>
    </w:lvl>
    <w:lvl w:ilvl="7" w:tplc="046045B0" w:tentative="1">
      <w:start w:val="1"/>
      <w:numFmt w:val="bullet"/>
      <w:lvlText w:val=""/>
      <w:lvlJc w:val="left"/>
      <w:pPr>
        <w:tabs>
          <w:tab w:val="num" w:pos="5760"/>
        </w:tabs>
        <w:ind w:left="5760" w:hanging="360"/>
      </w:pPr>
      <w:rPr>
        <w:rFonts w:ascii="Symbol" w:hAnsi="Symbol" w:hint="default"/>
      </w:rPr>
    </w:lvl>
    <w:lvl w:ilvl="8" w:tplc="F6A24064"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C213890"/>
    <w:multiLevelType w:val="hybridMultilevel"/>
    <w:tmpl w:val="752A4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FE44C2"/>
    <w:multiLevelType w:val="hybridMultilevel"/>
    <w:tmpl w:val="6C6E1602"/>
    <w:lvl w:ilvl="0" w:tplc="AAA0466E">
      <w:start w:val="1"/>
      <w:numFmt w:val="bullet"/>
      <w:lvlText w:val=""/>
      <w:lvlJc w:val="left"/>
      <w:pPr>
        <w:ind w:left="720" w:hanging="360"/>
      </w:pPr>
      <w:rPr>
        <w:rFonts w:ascii="Symbol" w:hAnsi="Symbol" w:hint="default"/>
        <w:lang w:val="en-US"/>
      </w:rPr>
    </w:lvl>
    <w:lvl w:ilvl="1" w:tplc="080C0003">
      <w:start w:val="1"/>
      <w:numFmt w:val="bullet"/>
      <w:lvlText w:val="o"/>
      <w:lvlJc w:val="left"/>
      <w:pPr>
        <w:ind w:left="1440" w:hanging="360"/>
      </w:pPr>
      <w:rPr>
        <w:rFonts w:ascii="Courier New" w:hAnsi="Courier New" w:cs="Courier New" w:hint="default"/>
      </w:rPr>
    </w:lvl>
    <w:lvl w:ilvl="2" w:tplc="F87E9318">
      <w:start w:val="1"/>
      <w:numFmt w:val="bullet"/>
      <w:lvlText w:val="-"/>
      <w:lvlJc w:val="left"/>
      <w:pPr>
        <w:ind w:left="2160" w:hanging="360"/>
      </w:pPr>
      <w:rPr>
        <w:rFonts w:ascii="Calibri" w:hAnsi="Calibri" w:hint="default"/>
      </w:rPr>
    </w:lvl>
    <w:lvl w:ilvl="3" w:tplc="D108D9CE">
      <w:numFmt w:val="bullet"/>
      <w:lvlText w:val="-"/>
      <w:lvlJc w:val="left"/>
      <w:pPr>
        <w:ind w:left="2880" w:hanging="360"/>
      </w:pPr>
      <w:rPr>
        <w:rFonts w:ascii="Calibri" w:eastAsiaTheme="minorHAnsi" w:hAnsi="Calibri" w:cstheme="minorBid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608B0218"/>
    <w:multiLevelType w:val="hybridMultilevel"/>
    <w:tmpl w:val="026655C4"/>
    <w:lvl w:ilvl="0" w:tplc="CD0E23DC">
      <w:start w:val="1"/>
      <w:numFmt w:val="lowerLetter"/>
      <w:pStyle w:val="Questionnumbereda"/>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327C7A"/>
    <w:multiLevelType w:val="hybridMultilevel"/>
    <w:tmpl w:val="366E93D6"/>
    <w:lvl w:ilvl="0" w:tplc="100C059E">
      <w:start w:val="1"/>
      <w:numFmt w:val="bullet"/>
      <w:lvlText w:val=""/>
      <w:lvlJc w:val="left"/>
      <w:pPr>
        <w:ind w:left="720" w:hanging="360"/>
      </w:pPr>
      <w:rPr>
        <w:rFonts w:ascii="Symbol" w:hAnsi="Symbol" w:hint="default"/>
      </w:rPr>
    </w:lvl>
    <w:lvl w:ilvl="1" w:tplc="DB1C3E62">
      <w:start w:val="1"/>
      <w:numFmt w:val="bullet"/>
      <w:lvlText w:val="o"/>
      <w:lvlJc w:val="left"/>
      <w:pPr>
        <w:ind w:left="1440" w:hanging="360"/>
      </w:pPr>
      <w:rPr>
        <w:rFonts w:ascii="Courier New" w:hAnsi="Courier New" w:hint="default"/>
      </w:rPr>
    </w:lvl>
    <w:lvl w:ilvl="2" w:tplc="A6B86C8A">
      <w:start w:val="1"/>
      <w:numFmt w:val="bullet"/>
      <w:lvlText w:val=""/>
      <w:lvlJc w:val="left"/>
      <w:pPr>
        <w:ind w:left="2160" w:hanging="360"/>
      </w:pPr>
      <w:rPr>
        <w:rFonts w:ascii="Wingdings" w:hAnsi="Wingdings" w:hint="default"/>
      </w:rPr>
    </w:lvl>
    <w:lvl w:ilvl="3" w:tplc="4808AAEC">
      <w:start w:val="1"/>
      <w:numFmt w:val="bullet"/>
      <w:lvlText w:val=""/>
      <w:lvlJc w:val="left"/>
      <w:pPr>
        <w:ind w:left="2880" w:hanging="360"/>
      </w:pPr>
      <w:rPr>
        <w:rFonts w:ascii="Symbol" w:hAnsi="Symbol" w:hint="default"/>
      </w:rPr>
    </w:lvl>
    <w:lvl w:ilvl="4" w:tplc="CD7C9DE2">
      <w:start w:val="1"/>
      <w:numFmt w:val="bullet"/>
      <w:lvlText w:val="o"/>
      <w:lvlJc w:val="left"/>
      <w:pPr>
        <w:ind w:left="3600" w:hanging="360"/>
      </w:pPr>
      <w:rPr>
        <w:rFonts w:ascii="Courier New" w:hAnsi="Courier New" w:hint="default"/>
      </w:rPr>
    </w:lvl>
    <w:lvl w:ilvl="5" w:tplc="8E6C6766">
      <w:start w:val="1"/>
      <w:numFmt w:val="bullet"/>
      <w:lvlText w:val=""/>
      <w:lvlJc w:val="left"/>
      <w:pPr>
        <w:ind w:left="4320" w:hanging="360"/>
      </w:pPr>
      <w:rPr>
        <w:rFonts w:ascii="Wingdings" w:hAnsi="Wingdings" w:hint="default"/>
      </w:rPr>
    </w:lvl>
    <w:lvl w:ilvl="6" w:tplc="4E7A3560">
      <w:start w:val="1"/>
      <w:numFmt w:val="bullet"/>
      <w:lvlText w:val=""/>
      <w:lvlJc w:val="left"/>
      <w:pPr>
        <w:ind w:left="5040" w:hanging="360"/>
      </w:pPr>
      <w:rPr>
        <w:rFonts w:ascii="Symbol" w:hAnsi="Symbol" w:hint="default"/>
      </w:rPr>
    </w:lvl>
    <w:lvl w:ilvl="7" w:tplc="2102CF76">
      <w:start w:val="1"/>
      <w:numFmt w:val="bullet"/>
      <w:lvlText w:val="o"/>
      <w:lvlJc w:val="left"/>
      <w:pPr>
        <w:ind w:left="5760" w:hanging="360"/>
      </w:pPr>
      <w:rPr>
        <w:rFonts w:ascii="Courier New" w:hAnsi="Courier New" w:hint="default"/>
      </w:rPr>
    </w:lvl>
    <w:lvl w:ilvl="8" w:tplc="57082A48">
      <w:start w:val="1"/>
      <w:numFmt w:val="bullet"/>
      <w:lvlText w:val=""/>
      <w:lvlJc w:val="left"/>
      <w:pPr>
        <w:ind w:left="6480" w:hanging="360"/>
      </w:pPr>
      <w:rPr>
        <w:rFonts w:ascii="Wingdings" w:hAnsi="Wingdings" w:hint="default"/>
      </w:rPr>
    </w:lvl>
  </w:abstractNum>
  <w:abstractNum w:abstractNumId="28" w15:restartNumberingAfterBreak="0">
    <w:nsid w:val="6B4E6225"/>
    <w:multiLevelType w:val="hybridMultilevel"/>
    <w:tmpl w:val="ED2E8F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6D477947"/>
    <w:multiLevelType w:val="hybridMultilevel"/>
    <w:tmpl w:val="7EA4D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E05872"/>
    <w:multiLevelType w:val="multilevel"/>
    <w:tmpl w:val="B12EB342"/>
    <w:lvl w:ilvl="0">
      <w:start w:val="1"/>
      <w:numFmt w:val="decimal"/>
      <w:pStyle w:val="BoardItem"/>
      <w:lvlText w:val="%1."/>
      <w:lvlJc w:val="left"/>
      <w:pPr>
        <w:ind w:left="432" w:hanging="432"/>
      </w:pPr>
    </w:lvl>
    <w:lvl w:ilvl="1">
      <w:start w:val="1"/>
      <w:numFmt w:val="decimal"/>
      <w:pStyle w:val="BoardSub-item"/>
      <w:lvlText w:val="%1.%2"/>
      <w:lvlJc w:val="left"/>
      <w:pPr>
        <w:ind w:left="576" w:hanging="576"/>
      </w:pPr>
      <w:rPr>
        <w:color w:val="auto"/>
        <w:sz w:val="20"/>
        <w:szCs w:val="20"/>
      </w:rPr>
    </w:lvl>
    <w:lvl w:ilvl="2">
      <w:start w:val="1"/>
      <w:numFmt w:val="bullet"/>
      <w:pStyle w:val="Boardlowestlevel"/>
      <w:lvlText w:val=""/>
      <w:lvlJc w:val="left"/>
      <w:pPr>
        <w:ind w:left="720"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7426A8B"/>
    <w:multiLevelType w:val="hybridMultilevel"/>
    <w:tmpl w:val="5E00B16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E739A0"/>
    <w:multiLevelType w:val="hybridMultilevel"/>
    <w:tmpl w:val="A30A49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FD97B25"/>
    <w:multiLevelType w:val="multilevel"/>
    <w:tmpl w:val="F6D29C8A"/>
    <w:lvl w:ilvl="0">
      <w:start w:val="1"/>
      <w:numFmt w:val="decimal"/>
      <w:pStyle w:val="TextListnumbered"/>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5"/>
  </w:num>
  <w:num w:numId="2">
    <w:abstractNumId w:val="25"/>
  </w:num>
  <w:num w:numId="3">
    <w:abstractNumId w:val="33"/>
  </w:num>
  <w:num w:numId="4">
    <w:abstractNumId w:val="11"/>
  </w:num>
  <w:num w:numId="5">
    <w:abstractNumId w:val="26"/>
  </w:num>
  <w:num w:numId="6">
    <w:abstractNumId w:val="13"/>
    <w:lvlOverride w:ilvl="0">
      <w:startOverride w:val="1"/>
    </w:lvlOverride>
  </w:num>
  <w:num w:numId="7">
    <w:abstractNumId w:val="3"/>
  </w:num>
  <w:num w:numId="8">
    <w:abstractNumId w:val="7"/>
    <w:lvlOverride w:ilvl="0">
      <w:startOverride w:val="1"/>
    </w:lvlOverride>
  </w:num>
  <w:num w:numId="9">
    <w:abstractNumId w:val="30"/>
  </w:num>
  <w:num w:numId="10">
    <w:abstractNumId w:val="17"/>
  </w:num>
  <w:num w:numId="11">
    <w:abstractNumId w:val="28"/>
  </w:num>
  <w:num w:numId="12">
    <w:abstractNumId w:val="25"/>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0"/>
  </w:num>
  <w:num w:numId="15">
    <w:abstractNumId w:val="18"/>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31"/>
  </w:num>
  <w:num w:numId="19">
    <w:abstractNumId w:val="19"/>
  </w:num>
  <w:num w:numId="20">
    <w:abstractNumId w:val="29"/>
  </w:num>
  <w:num w:numId="21">
    <w:abstractNumId w:val="10"/>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2"/>
  </w:num>
  <w:num w:numId="25">
    <w:abstractNumId w:val="21"/>
  </w:num>
  <w:num w:numId="26">
    <w:abstractNumId w:val="7"/>
  </w:num>
  <w:num w:numId="27">
    <w:abstractNumId w:val="27"/>
  </w:num>
  <w:num w:numId="28">
    <w:abstractNumId w:val="5"/>
  </w:num>
  <w:num w:numId="29">
    <w:abstractNumId w:val="24"/>
  </w:num>
  <w:num w:numId="30">
    <w:abstractNumId w:val="4"/>
  </w:num>
  <w:num w:numId="31">
    <w:abstractNumId w:val="23"/>
  </w:num>
  <w:num w:numId="32">
    <w:abstractNumId w:val="1"/>
  </w:num>
  <w:num w:numId="33">
    <w:abstractNumId w:val="20"/>
  </w:num>
  <w:num w:numId="34">
    <w:abstractNumId w:val="8"/>
  </w:num>
  <w:num w:numId="35">
    <w:abstractNumId w:val="9"/>
  </w:num>
  <w:num w:numId="36">
    <w:abstractNumId w:val="14"/>
  </w:num>
  <w:num w:numId="37">
    <w:abstractNumId w:val="6"/>
  </w:num>
  <w:num w:numId="38">
    <w:abstractNumId w:val="12"/>
  </w:num>
  <w:num w:numId="39">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linkStyl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378"/>
    <w:rsid w:val="0000580D"/>
    <w:rsid w:val="000067C7"/>
    <w:rsid w:val="00007EB9"/>
    <w:rsid w:val="00012F19"/>
    <w:rsid w:val="000136FE"/>
    <w:rsid w:val="000165E3"/>
    <w:rsid w:val="0002006A"/>
    <w:rsid w:val="000272D2"/>
    <w:rsid w:val="000417EC"/>
    <w:rsid w:val="000615C9"/>
    <w:rsid w:val="00076752"/>
    <w:rsid w:val="00085C44"/>
    <w:rsid w:val="000872CE"/>
    <w:rsid w:val="000A6B9E"/>
    <w:rsid w:val="000B11CB"/>
    <w:rsid w:val="000C1E6A"/>
    <w:rsid w:val="000D4C51"/>
    <w:rsid w:val="000E042F"/>
    <w:rsid w:val="000E405A"/>
    <w:rsid w:val="000E49E1"/>
    <w:rsid w:val="000F23F3"/>
    <w:rsid w:val="000F3B1F"/>
    <w:rsid w:val="000F4EAE"/>
    <w:rsid w:val="000F79B2"/>
    <w:rsid w:val="00110292"/>
    <w:rsid w:val="0011778A"/>
    <w:rsid w:val="00121AFC"/>
    <w:rsid w:val="00121D27"/>
    <w:rsid w:val="00124244"/>
    <w:rsid w:val="00140DC6"/>
    <w:rsid w:val="00153B66"/>
    <w:rsid w:val="00161034"/>
    <w:rsid w:val="0016480E"/>
    <w:rsid w:val="00165856"/>
    <w:rsid w:val="001671C0"/>
    <w:rsid w:val="0018389A"/>
    <w:rsid w:val="0018680F"/>
    <w:rsid w:val="001965F3"/>
    <w:rsid w:val="0019781E"/>
    <w:rsid w:val="001A33FC"/>
    <w:rsid w:val="001B1949"/>
    <w:rsid w:val="001B2F40"/>
    <w:rsid w:val="001B6A2E"/>
    <w:rsid w:val="001C1375"/>
    <w:rsid w:val="001C443A"/>
    <w:rsid w:val="001D509A"/>
    <w:rsid w:val="001D54CC"/>
    <w:rsid w:val="001D675C"/>
    <w:rsid w:val="001D75DA"/>
    <w:rsid w:val="001E746D"/>
    <w:rsid w:val="001F1BCF"/>
    <w:rsid w:val="001F2837"/>
    <w:rsid w:val="001F7B0E"/>
    <w:rsid w:val="00200413"/>
    <w:rsid w:val="00206D7C"/>
    <w:rsid w:val="00207AB1"/>
    <w:rsid w:val="00211595"/>
    <w:rsid w:val="00220207"/>
    <w:rsid w:val="00230F57"/>
    <w:rsid w:val="00231DED"/>
    <w:rsid w:val="002350FA"/>
    <w:rsid w:val="00237E3A"/>
    <w:rsid w:val="00241283"/>
    <w:rsid w:val="00242775"/>
    <w:rsid w:val="00256B25"/>
    <w:rsid w:val="002778D1"/>
    <w:rsid w:val="00277D6E"/>
    <w:rsid w:val="002812C4"/>
    <w:rsid w:val="002953E4"/>
    <w:rsid w:val="002A18B6"/>
    <w:rsid w:val="002A265B"/>
    <w:rsid w:val="002A2CBB"/>
    <w:rsid w:val="002A7E23"/>
    <w:rsid w:val="002B25BA"/>
    <w:rsid w:val="002B2663"/>
    <w:rsid w:val="002B6697"/>
    <w:rsid w:val="002C2457"/>
    <w:rsid w:val="002C3FE0"/>
    <w:rsid w:val="002D322C"/>
    <w:rsid w:val="002D7261"/>
    <w:rsid w:val="002E1D91"/>
    <w:rsid w:val="002E6161"/>
    <w:rsid w:val="002F0952"/>
    <w:rsid w:val="002F16FC"/>
    <w:rsid w:val="003079F5"/>
    <w:rsid w:val="00315F98"/>
    <w:rsid w:val="00325463"/>
    <w:rsid w:val="003319F5"/>
    <w:rsid w:val="00331B57"/>
    <w:rsid w:val="00336C77"/>
    <w:rsid w:val="00342CED"/>
    <w:rsid w:val="003834DE"/>
    <w:rsid w:val="003A0FCD"/>
    <w:rsid w:val="003A2108"/>
    <w:rsid w:val="003B2B58"/>
    <w:rsid w:val="003C15FA"/>
    <w:rsid w:val="003C1F6C"/>
    <w:rsid w:val="003C57AA"/>
    <w:rsid w:val="003C582A"/>
    <w:rsid w:val="003D16C1"/>
    <w:rsid w:val="003E0F58"/>
    <w:rsid w:val="003E150F"/>
    <w:rsid w:val="003F0E46"/>
    <w:rsid w:val="003F45A9"/>
    <w:rsid w:val="004062CD"/>
    <w:rsid w:val="00420378"/>
    <w:rsid w:val="00421202"/>
    <w:rsid w:val="004269B8"/>
    <w:rsid w:val="00427B48"/>
    <w:rsid w:val="004338A0"/>
    <w:rsid w:val="00437242"/>
    <w:rsid w:val="00456389"/>
    <w:rsid w:val="004577DD"/>
    <w:rsid w:val="0046576F"/>
    <w:rsid w:val="004807C9"/>
    <w:rsid w:val="00491371"/>
    <w:rsid w:val="00492AF5"/>
    <w:rsid w:val="004960E4"/>
    <w:rsid w:val="004A066F"/>
    <w:rsid w:val="004A1145"/>
    <w:rsid w:val="004B4EBD"/>
    <w:rsid w:val="004C1089"/>
    <w:rsid w:val="004C1EE3"/>
    <w:rsid w:val="004C798C"/>
    <w:rsid w:val="004D19BB"/>
    <w:rsid w:val="004D4546"/>
    <w:rsid w:val="004E244D"/>
    <w:rsid w:val="004F0CA0"/>
    <w:rsid w:val="004F4E86"/>
    <w:rsid w:val="0050291E"/>
    <w:rsid w:val="00504303"/>
    <w:rsid w:val="005073BC"/>
    <w:rsid w:val="005313F1"/>
    <w:rsid w:val="0053624C"/>
    <w:rsid w:val="00537226"/>
    <w:rsid w:val="005409DB"/>
    <w:rsid w:val="00547266"/>
    <w:rsid w:val="00562FE4"/>
    <w:rsid w:val="00570107"/>
    <w:rsid w:val="00572ADB"/>
    <w:rsid w:val="00574027"/>
    <w:rsid w:val="00582851"/>
    <w:rsid w:val="00583236"/>
    <w:rsid w:val="00584AE8"/>
    <w:rsid w:val="0058652E"/>
    <w:rsid w:val="00595151"/>
    <w:rsid w:val="005B0EAA"/>
    <w:rsid w:val="005B3A04"/>
    <w:rsid w:val="005B3A9B"/>
    <w:rsid w:val="005D0440"/>
    <w:rsid w:val="005D32D2"/>
    <w:rsid w:val="005D4AC3"/>
    <w:rsid w:val="005D7095"/>
    <w:rsid w:val="00600685"/>
    <w:rsid w:val="00622A5F"/>
    <w:rsid w:val="006240CB"/>
    <w:rsid w:val="006340FC"/>
    <w:rsid w:val="00651735"/>
    <w:rsid w:val="00653D14"/>
    <w:rsid w:val="006577B1"/>
    <w:rsid w:val="00662CE4"/>
    <w:rsid w:val="006641CD"/>
    <w:rsid w:val="0066552A"/>
    <w:rsid w:val="00670A34"/>
    <w:rsid w:val="00676A65"/>
    <w:rsid w:val="00683221"/>
    <w:rsid w:val="0069033F"/>
    <w:rsid w:val="0069633C"/>
    <w:rsid w:val="00697EAE"/>
    <w:rsid w:val="006A12BF"/>
    <w:rsid w:val="006A3636"/>
    <w:rsid w:val="006C0A34"/>
    <w:rsid w:val="006C55D5"/>
    <w:rsid w:val="006D55B6"/>
    <w:rsid w:val="006E1A55"/>
    <w:rsid w:val="006E1F70"/>
    <w:rsid w:val="007011A1"/>
    <w:rsid w:val="00701DFE"/>
    <w:rsid w:val="007137C7"/>
    <w:rsid w:val="00715DC7"/>
    <w:rsid w:val="00716703"/>
    <w:rsid w:val="00722C7C"/>
    <w:rsid w:val="007240DD"/>
    <w:rsid w:val="00725545"/>
    <w:rsid w:val="00725BF0"/>
    <w:rsid w:val="00727143"/>
    <w:rsid w:val="007356F8"/>
    <w:rsid w:val="0074343B"/>
    <w:rsid w:val="00750FFE"/>
    <w:rsid w:val="00753BFA"/>
    <w:rsid w:val="007546AD"/>
    <w:rsid w:val="00764E9D"/>
    <w:rsid w:val="007706C4"/>
    <w:rsid w:val="007935DD"/>
    <w:rsid w:val="00794896"/>
    <w:rsid w:val="007A0A7C"/>
    <w:rsid w:val="007A0BB0"/>
    <w:rsid w:val="007A39C7"/>
    <w:rsid w:val="007B02CF"/>
    <w:rsid w:val="007D446F"/>
    <w:rsid w:val="007E489E"/>
    <w:rsid w:val="007E6C62"/>
    <w:rsid w:val="007F5520"/>
    <w:rsid w:val="007F64A9"/>
    <w:rsid w:val="007FA206"/>
    <w:rsid w:val="008075A2"/>
    <w:rsid w:val="00813AC4"/>
    <w:rsid w:val="00817F0F"/>
    <w:rsid w:val="00837DC9"/>
    <w:rsid w:val="0084087A"/>
    <w:rsid w:val="00842A9C"/>
    <w:rsid w:val="00852129"/>
    <w:rsid w:val="0085573B"/>
    <w:rsid w:val="00856A66"/>
    <w:rsid w:val="00867A8B"/>
    <w:rsid w:val="00867B09"/>
    <w:rsid w:val="00870325"/>
    <w:rsid w:val="00883723"/>
    <w:rsid w:val="008870EA"/>
    <w:rsid w:val="008874D6"/>
    <w:rsid w:val="00890957"/>
    <w:rsid w:val="008A57F4"/>
    <w:rsid w:val="008B7FA7"/>
    <w:rsid w:val="008C0451"/>
    <w:rsid w:val="008C482B"/>
    <w:rsid w:val="008C6288"/>
    <w:rsid w:val="008D58E4"/>
    <w:rsid w:val="008D6F1E"/>
    <w:rsid w:val="008E2E72"/>
    <w:rsid w:val="008F444C"/>
    <w:rsid w:val="009004DD"/>
    <w:rsid w:val="00904453"/>
    <w:rsid w:val="009113E7"/>
    <w:rsid w:val="00914F8B"/>
    <w:rsid w:val="00915D2F"/>
    <w:rsid w:val="009163F7"/>
    <w:rsid w:val="009171B0"/>
    <w:rsid w:val="00930ABC"/>
    <w:rsid w:val="00933F60"/>
    <w:rsid w:val="0094093D"/>
    <w:rsid w:val="00945AF7"/>
    <w:rsid w:val="00951A35"/>
    <w:rsid w:val="00952AEC"/>
    <w:rsid w:val="00962505"/>
    <w:rsid w:val="009726A5"/>
    <w:rsid w:val="009A20BE"/>
    <w:rsid w:val="009A2E51"/>
    <w:rsid w:val="009A43DE"/>
    <w:rsid w:val="009B576D"/>
    <w:rsid w:val="009C33E8"/>
    <w:rsid w:val="009C7B6C"/>
    <w:rsid w:val="009E7E85"/>
    <w:rsid w:val="00A03675"/>
    <w:rsid w:val="00A05788"/>
    <w:rsid w:val="00A14FC4"/>
    <w:rsid w:val="00A16A31"/>
    <w:rsid w:val="00A336D6"/>
    <w:rsid w:val="00A45761"/>
    <w:rsid w:val="00A46CFB"/>
    <w:rsid w:val="00A476FF"/>
    <w:rsid w:val="00A5081F"/>
    <w:rsid w:val="00A53D77"/>
    <w:rsid w:val="00A85830"/>
    <w:rsid w:val="00A9517B"/>
    <w:rsid w:val="00A978E2"/>
    <w:rsid w:val="00AB3295"/>
    <w:rsid w:val="00AB45C7"/>
    <w:rsid w:val="00AC4918"/>
    <w:rsid w:val="00AC5D72"/>
    <w:rsid w:val="00AC684F"/>
    <w:rsid w:val="00AD217A"/>
    <w:rsid w:val="00AD38AB"/>
    <w:rsid w:val="00AD3D4D"/>
    <w:rsid w:val="00AD6D57"/>
    <w:rsid w:val="00AE63C4"/>
    <w:rsid w:val="00AF2AA6"/>
    <w:rsid w:val="00B030EC"/>
    <w:rsid w:val="00B06DD3"/>
    <w:rsid w:val="00B12F8D"/>
    <w:rsid w:val="00B24EF2"/>
    <w:rsid w:val="00B61B40"/>
    <w:rsid w:val="00B67BC3"/>
    <w:rsid w:val="00B81BBB"/>
    <w:rsid w:val="00B929A3"/>
    <w:rsid w:val="00BA2226"/>
    <w:rsid w:val="00BA5543"/>
    <w:rsid w:val="00BB409F"/>
    <w:rsid w:val="00BB45A6"/>
    <w:rsid w:val="00BC110E"/>
    <w:rsid w:val="00BC42F7"/>
    <w:rsid w:val="00BE13E8"/>
    <w:rsid w:val="00BE35EA"/>
    <w:rsid w:val="00BE562A"/>
    <w:rsid w:val="00BF3B56"/>
    <w:rsid w:val="00C028CA"/>
    <w:rsid w:val="00C158B9"/>
    <w:rsid w:val="00C1626A"/>
    <w:rsid w:val="00C165C3"/>
    <w:rsid w:val="00C3684D"/>
    <w:rsid w:val="00C369AB"/>
    <w:rsid w:val="00C4026D"/>
    <w:rsid w:val="00C41EA2"/>
    <w:rsid w:val="00C53884"/>
    <w:rsid w:val="00C53A52"/>
    <w:rsid w:val="00C60DA0"/>
    <w:rsid w:val="00C62491"/>
    <w:rsid w:val="00C83671"/>
    <w:rsid w:val="00CA334B"/>
    <w:rsid w:val="00CA3405"/>
    <w:rsid w:val="00CB4824"/>
    <w:rsid w:val="00CC0872"/>
    <w:rsid w:val="00CC2242"/>
    <w:rsid w:val="00CE5B83"/>
    <w:rsid w:val="00CF6F62"/>
    <w:rsid w:val="00D030D8"/>
    <w:rsid w:val="00D06EC1"/>
    <w:rsid w:val="00D161E3"/>
    <w:rsid w:val="00D213EC"/>
    <w:rsid w:val="00D23836"/>
    <w:rsid w:val="00D33177"/>
    <w:rsid w:val="00D356D3"/>
    <w:rsid w:val="00D35A65"/>
    <w:rsid w:val="00D36E3C"/>
    <w:rsid w:val="00D37313"/>
    <w:rsid w:val="00D42653"/>
    <w:rsid w:val="00D45E4B"/>
    <w:rsid w:val="00D62B10"/>
    <w:rsid w:val="00D63F06"/>
    <w:rsid w:val="00D864DA"/>
    <w:rsid w:val="00DA0A74"/>
    <w:rsid w:val="00DA0D6A"/>
    <w:rsid w:val="00DB06C9"/>
    <w:rsid w:val="00DB3357"/>
    <w:rsid w:val="00DB79F4"/>
    <w:rsid w:val="00DB7FAE"/>
    <w:rsid w:val="00DC3CB6"/>
    <w:rsid w:val="00DC5EA6"/>
    <w:rsid w:val="00DD1465"/>
    <w:rsid w:val="00DD185E"/>
    <w:rsid w:val="00DD2722"/>
    <w:rsid w:val="00DD3239"/>
    <w:rsid w:val="00DE17F4"/>
    <w:rsid w:val="00DE34DA"/>
    <w:rsid w:val="00DE5214"/>
    <w:rsid w:val="00DE5BDC"/>
    <w:rsid w:val="00DF521B"/>
    <w:rsid w:val="00E16F3E"/>
    <w:rsid w:val="00E27957"/>
    <w:rsid w:val="00E35A15"/>
    <w:rsid w:val="00E41487"/>
    <w:rsid w:val="00E512EE"/>
    <w:rsid w:val="00E63445"/>
    <w:rsid w:val="00E67D79"/>
    <w:rsid w:val="00E7114B"/>
    <w:rsid w:val="00E755B8"/>
    <w:rsid w:val="00E83DE1"/>
    <w:rsid w:val="00E85C4D"/>
    <w:rsid w:val="00E86CC6"/>
    <w:rsid w:val="00E96619"/>
    <w:rsid w:val="00E976D9"/>
    <w:rsid w:val="00EA2015"/>
    <w:rsid w:val="00EA2BCB"/>
    <w:rsid w:val="00EB296E"/>
    <w:rsid w:val="00EB48F9"/>
    <w:rsid w:val="00EC01FC"/>
    <w:rsid w:val="00EC7CEA"/>
    <w:rsid w:val="00EE58F0"/>
    <w:rsid w:val="00EF2499"/>
    <w:rsid w:val="00F135D0"/>
    <w:rsid w:val="00F21BA9"/>
    <w:rsid w:val="00F3070C"/>
    <w:rsid w:val="00F36DBA"/>
    <w:rsid w:val="00F450F5"/>
    <w:rsid w:val="00F45994"/>
    <w:rsid w:val="00F724BE"/>
    <w:rsid w:val="00F76CE2"/>
    <w:rsid w:val="00F905FF"/>
    <w:rsid w:val="00F9638C"/>
    <w:rsid w:val="00F97086"/>
    <w:rsid w:val="00FB02DC"/>
    <w:rsid w:val="00FB7EAD"/>
    <w:rsid w:val="00FC0942"/>
    <w:rsid w:val="00FC1B0B"/>
    <w:rsid w:val="00FC4559"/>
    <w:rsid w:val="00FD2392"/>
    <w:rsid w:val="00FD695F"/>
    <w:rsid w:val="00FE1152"/>
    <w:rsid w:val="00FE4469"/>
    <w:rsid w:val="00FE6602"/>
    <w:rsid w:val="06359DD0"/>
    <w:rsid w:val="083C5CDB"/>
    <w:rsid w:val="09723ADD"/>
    <w:rsid w:val="0D210E68"/>
    <w:rsid w:val="0D7DA471"/>
    <w:rsid w:val="0E7B9D36"/>
    <w:rsid w:val="0EEB73C0"/>
    <w:rsid w:val="0FB89EE3"/>
    <w:rsid w:val="0FC67508"/>
    <w:rsid w:val="107BA36A"/>
    <w:rsid w:val="11298170"/>
    <w:rsid w:val="1171D56E"/>
    <w:rsid w:val="11BBDD0F"/>
    <w:rsid w:val="1355F03D"/>
    <w:rsid w:val="138E5A91"/>
    <w:rsid w:val="1415AF84"/>
    <w:rsid w:val="14D6B5BE"/>
    <w:rsid w:val="16F011F4"/>
    <w:rsid w:val="1DC0EB4B"/>
    <w:rsid w:val="1E982017"/>
    <w:rsid w:val="214B8D4D"/>
    <w:rsid w:val="2168F60D"/>
    <w:rsid w:val="22454FF1"/>
    <w:rsid w:val="22833FF7"/>
    <w:rsid w:val="23DC8623"/>
    <w:rsid w:val="248CC7A7"/>
    <w:rsid w:val="29376B05"/>
    <w:rsid w:val="334FDF39"/>
    <w:rsid w:val="38416A6C"/>
    <w:rsid w:val="3AB45009"/>
    <w:rsid w:val="3B72B790"/>
    <w:rsid w:val="3B893AFC"/>
    <w:rsid w:val="3BBD5BE2"/>
    <w:rsid w:val="408BA509"/>
    <w:rsid w:val="4439277D"/>
    <w:rsid w:val="445431E6"/>
    <w:rsid w:val="44EDAEC8"/>
    <w:rsid w:val="459D14CB"/>
    <w:rsid w:val="464C2903"/>
    <w:rsid w:val="4A2A31E7"/>
    <w:rsid w:val="521F8306"/>
    <w:rsid w:val="56BE7740"/>
    <w:rsid w:val="5984F6C1"/>
    <w:rsid w:val="5AC9E701"/>
    <w:rsid w:val="5B830017"/>
    <w:rsid w:val="5CC6DE44"/>
    <w:rsid w:val="5E6AB256"/>
    <w:rsid w:val="6069A427"/>
    <w:rsid w:val="619DF16E"/>
    <w:rsid w:val="62818C10"/>
    <w:rsid w:val="63FB1415"/>
    <w:rsid w:val="67115149"/>
    <w:rsid w:val="68486E51"/>
    <w:rsid w:val="6AA4D4E7"/>
    <w:rsid w:val="6AF85E40"/>
    <w:rsid w:val="6CAC70DB"/>
    <w:rsid w:val="6F4DDD8E"/>
    <w:rsid w:val="7045AC98"/>
    <w:rsid w:val="731F7796"/>
    <w:rsid w:val="748B70F3"/>
    <w:rsid w:val="74D195AA"/>
    <w:rsid w:val="760A3990"/>
    <w:rsid w:val="76F6F588"/>
    <w:rsid w:val="77ED01AC"/>
    <w:rsid w:val="7BF942EE"/>
    <w:rsid w:val="7C733E81"/>
    <w:rsid w:val="7F3C7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10D9C"/>
  <w15:chartTrackingRefBased/>
  <w15:docId w15:val="{44CFFC42-AA29-44D6-873B-30A7F4F96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6" w:qFormat="1"/>
    <w:lsdException w:name="heading 1" w:uiPriority="2"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6"/>
    <w:unhideWhenUsed/>
    <w:qFormat/>
    <w:rsid w:val="0084087A"/>
    <w:pPr>
      <w:spacing w:after="200" w:line="264" w:lineRule="auto"/>
    </w:pPr>
    <w:rPr>
      <w:sz w:val="20"/>
      <w:szCs w:val="20"/>
      <w:lang w:val="en-GB"/>
    </w:rPr>
  </w:style>
  <w:style w:type="paragraph" w:styleId="Heading1">
    <w:name w:val="heading 1"/>
    <w:basedOn w:val="Paragraphsettings"/>
    <w:next w:val="Text"/>
    <w:link w:val="Heading1Char"/>
    <w:uiPriority w:val="2"/>
    <w:qFormat/>
    <w:rsid w:val="0084087A"/>
    <w:pPr>
      <w:keepNext/>
      <w:spacing w:before="400" w:line="192" w:lineRule="auto"/>
      <w:outlineLvl w:val="0"/>
    </w:pPr>
    <w:rPr>
      <w:rFonts w:ascii="Domus Titling Extrabold" w:hAnsi="Domus Titling Extrabold"/>
      <w:color w:val="FFCC00" w:themeColor="accent1"/>
      <w:spacing w:val="10"/>
      <w:sz w:val="28"/>
      <w:szCs w:val="28"/>
    </w:rPr>
  </w:style>
  <w:style w:type="paragraph" w:styleId="Heading2">
    <w:name w:val="heading 2"/>
    <w:basedOn w:val="Paragraphsettings"/>
    <w:next w:val="Text"/>
    <w:link w:val="Heading2Char"/>
    <w:qFormat/>
    <w:rsid w:val="0084087A"/>
    <w:pPr>
      <w:keepNext/>
      <w:keepLines/>
      <w:spacing w:before="300" w:after="120" w:line="192" w:lineRule="auto"/>
      <w:outlineLvl w:val="1"/>
    </w:pPr>
    <w:rPr>
      <w:rFonts w:ascii="Domus Titling Extrabold" w:eastAsiaTheme="majorEastAsia" w:hAnsi="Domus Titling Extrabold" w:cstheme="majorBidi"/>
      <w:b/>
      <w:bCs/>
      <w:color w:val="808080" w:themeColor="accent2"/>
      <w:sz w:val="24"/>
      <w:szCs w:val="26"/>
      <w:lang w:val="en-US"/>
    </w:rPr>
  </w:style>
  <w:style w:type="paragraph" w:styleId="Heading3">
    <w:name w:val="heading 3"/>
    <w:basedOn w:val="Paragraphsettings"/>
    <w:next w:val="Text"/>
    <w:link w:val="Heading3Char"/>
    <w:qFormat/>
    <w:rsid w:val="0084087A"/>
    <w:pPr>
      <w:keepNext/>
      <w:keepLines/>
      <w:spacing w:before="200" w:after="120" w:line="192" w:lineRule="auto"/>
      <w:outlineLvl w:val="2"/>
    </w:pPr>
    <w:rPr>
      <w:rFonts w:ascii="Domus Titling Extrabold" w:eastAsiaTheme="majorEastAsia" w:hAnsi="Domus Titling Extrabold" w:cstheme="majorBidi"/>
      <w:b/>
      <w:bCs/>
      <w:szCs w:val="24"/>
    </w:rPr>
  </w:style>
  <w:style w:type="paragraph" w:styleId="Heading4">
    <w:name w:val="heading 4"/>
    <w:basedOn w:val="Normal"/>
    <w:next w:val="Normal"/>
    <w:link w:val="Heading4Char"/>
    <w:uiPriority w:val="9"/>
    <w:semiHidden/>
    <w:unhideWhenUsed/>
    <w:qFormat/>
    <w:rsid w:val="0084087A"/>
    <w:pPr>
      <w:keepNext/>
      <w:keepLines/>
      <w:numPr>
        <w:ilvl w:val="3"/>
        <w:numId w:val="4"/>
      </w:numPr>
      <w:spacing w:before="200" w:after="0"/>
      <w:outlineLvl w:val="3"/>
    </w:pPr>
    <w:rPr>
      <w:rFonts w:asciiTheme="majorHAnsi" w:eastAsiaTheme="majorEastAsia" w:hAnsiTheme="majorHAnsi" w:cstheme="majorBidi"/>
      <w:b/>
      <w:bCs/>
      <w:i/>
      <w:iCs/>
      <w:color w:val="FFCC00" w:themeColor="accent1"/>
    </w:rPr>
  </w:style>
  <w:style w:type="character" w:default="1" w:styleId="DefaultParagraphFont">
    <w:name w:val="Default Paragraph Font"/>
    <w:uiPriority w:val="1"/>
    <w:semiHidden/>
    <w:unhideWhenUsed/>
    <w:rsid w:val="0084087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4087A"/>
  </w:style>
  <w:style w:type="character" w:customStyle="1" w:styleId="Heading1Char">
    <w:name w:val="Heading 1 Char"/>
    <w:basedOn w:val="DefaultParagraphFont"/>
    <w:link w:val="Heading1"/>
    <w:uiPriority w:val="2"/>
    <w:rsid w:val="0084087A"/>
    <w:rPr>
      <w:rFonts w:ascii="Domus Titling Extrabold" w:hAnsi="Domus Titling Extrabold"/>
      <w:color w:val="FFCC00" w:themeColor="accent1"/>
      <w:spacing w:val="10"/>
      <w:sz w:val="28"/>
      <w:szCs w:val="28"/>
      <w:lang w:val="en-GB"/>
    </w:rPr>
  </w:style>
  <w:style w:type="character" w:customStyle="1" w:styleId="Heading2Char">
    <w:name w:val="Heading 2 Char"/>
    <w:basedOn w:val="DefaultParagraphFont"/>
    <w:link w:val="Heading2"/>
    <w:rsid w:val="0084087A"/>
    <w:rPr>
      <w:rFonts w:ascii="Domus Titling Extrabold" w:eastAsiaTheme="majorEastAsia" w:hAnsi="Domus Titling Extrabold" w:cstheme="majorBidi"/>
      <w:b/>
      <w:bCs/>
      <w:color w:val="808080" w:themeColor="accent2"/>
      <w:sz w:val="24"/>
      <w:szCs w:val="26"/>
    </w:rPr>
  </w:style>
  <w:style w:type="character" w:customStyle="1" w:styleId="Heading3Char">
    <w:name w:val="Heading 3 Char"/>
    <w:basedOn w:val="DefaultParagraphFont"/>
    <w:link w:val="Heading3"/>
    <w:rsid w:val="0084087A"/>
    <w:rPr>
      <w:rFonts w:ascii="Domus Titling Extrabold" w:eastAsiaTheme="majorEastAsia" w:hAnsi="Domus Titling Extrabold" w:cstheme="majorBidi"/>
      <w:b/>
      <w:bCs/>
      <w:sz w:val="20"/>
      <w:szCs w:val="24"/>
      <w:lang w:val="en-GB"/>
    </w:rPr>
  </w:style>
  <w:style w:type="character" w:customStyle="1" w:styleId="Heading4Char">
    <w:name w:val="Heading 4 Char"/>
    <w:basedOn w:val="DefaultParagraphFont"/>
    <w:link w:val="Heading4"/>
    <w:uiPriority w:val="9"/>
    <w:semiHidden/>
    <w:rsid w:val="0084087A"/>
    <w:rPr>
      <w:rFonts w:asciiTheme="majorHAnsi" w:eastAsiaTheme="majorEastAsia" w:hAnsiTheme="majorHAnsi" w:cstheme="majorBidi"/>
      <w:b/>
      <w:bCs/>
      <w:i/>
      <w:iCs/>
      <w:color w:val="FFCC00" w:themeColor="accent1"/>
      <w:sz w:val="20"/>
      <w:szCs w:val="20"/>
      <w:lang w:val="en-GB"/>
    </w:rPr>
  </w:style>
  <w:style w:type="paragraph" w:styleId="Header">
    <w:name w:val="header"/>
    <w:basedOn w:val="Normal"/>
    <w:link w:val="HeaderChar"/>
    <w:uiPriority w:val="99"/>
    <w:unhideWhenUsed/>
    <w:rsid w:val="0084087A"/>
    <w:pPr>
      <w:tabs>
        <w:tab w:val="center" w:pos="4536"/>
        <w:tab w:val="right" w:pos="9072"/>
      </w:tabs>
      <w:spacing w:after="0" w:line="240" w:lineRule="auto"/>
    </w:pPr>
  </w:style>
  <w:style w:type="character" w:customStyle="1" w:styleId="HeaderChar">
    <w:name w:val="Header Char"/>
    <w:basedOn w:val="DefaultParagraphFont"/>
    <w:link w:val="Header"/>
    <w:uiPriority w:val="99"/>
    <w:rsid w:val="0084087A"/>
    <w:rPr>
      <w:sz w:val="20"/>
      <w:szCs w:val="20"/>
      <w:lang w:val="en-GB"/>
    </w:rPr>
  </w:style>
  <w:style w:type="paragraph" w:styleId="Footer">
    <w:name w:val="footer"/>
    <w:aliases w:val="Footnote"/>
    <w:basedOn w:val="Normal"/>
    <w:link w:val="FooterChar"/>
    <w:uiPriority w:val="99"/>
    <w:unhideWhenUsed/>
    <w:rsid w:val="0084087A"/>
    <w:pPr>
      <w:tabs>
        <w:tab w:val="center" w:pos="4536"/>
        <w:tab w:val="right" w:pos="9072"/>
      </w:tabs>
      <w:spacing w:after="0" w:line="240" w:lineRule="auto"/>
    </w:pPr>
    <w:rPr>
      <w:sz w:val="18"/>
    </w:rPr>
  </w:style>
  <w:style w:type="character" w:customStyle="1" w:styleId="FooterChar">
    <w:name w:val="Footer Char"/>
    <w:aliases w:val="Footnote Char"/>
    <w:basedOn w:val="DefaultParagraphFont"/>
    <w:link w:val="Footer"/>
    <w:uiPriority w:val="99"/>
    <w:rsid w:val="0084087A"/>
    <w:rPr>
      <w:sz w:val="18"/>
      <w:szCs w:val="20"/>
      <w:lang w:val="en-GB"/>
    </w:rPr>
  </w:style>
  <w:style w:type="paragraph" w:styleId="BalloonText">
    <w:name w:val="Balloon Text"/>
    <w:basedOn w:val="Normal"/>
    <w:link w:val="BalloonTextChar"/>
    <w:uiPriority w:val="99"/>
    <w:semiHidden/>
    <w:unhideWhenUsed/>
    <w:rsid w:val="008408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87A"/>
    <w:rPr>
      <w:rFonts w:ascii="Tahoma" w:hAnsi="Tahoma" w:cs="Tahoma"/>
      <w:sz w:val="16"/>
      <w:szCs w:val="16"/>
      <w:lang w:val="en-GB"/>
    </w:rPr>
  </w:style>
  <w:style w:type="paragraph" w:styleId="Title">
    <w:name w:val="Title"/>
    <w:basedOn w:val="Normal"/>
    <w:next w:val="Subtitle"/>
    <w:link w:val="TitleChar"/>
    <w:uiPriority w:val="2"/>
    <w:unhideWhenUsed/>
    <w:rsid w:val="0084087A"/>
    <w:pPr>
      <w:keepNext/>
      <w:keepLines/>
      <w:tabs>
        <w:tab w:val="left" w:pos="8789"/>
      </w:tabs>
      <w:spacing w:before="720" w:after="240"/>
      <w:ind w:left="737"/>
    </w:pPr>
    <w:rPr>
      <w:rFonts w:ascii="Domus Titling Extrabold" w:eastAsiaTheme="majorEastAsia" w:hAnsi="Domus Titling Extrabold" w:cstheme="majorBidi"/>
      <w:b/>
      <w:bCs/>
      <w:color w:val="000000" w:themeColor="text1"/>
      <w:spacing w:val="10"/>
      <w:sz w:val="52"/>
      <w:szCs w:val="28"/>
    </w:rPr>
  </w:style>
  <w:style w:type="character" w:customStyle="1" w:styleId="TitleChar">
    <w:name w:val="Title Char"/>
    <w:basedOn w:val="DefaultParagraphFont"/>
    <w:link w:val="Title"/>
    <w:uiPriority w:val="2"/>
    <w:rsid w:val="0084087A"/>
    <w:rPr>
      <w:rFonts w:ascii="Domus Titling Extrabold" w:eastAsiaTheme="majorEastAsia" w:hAnsi="Domus Titling Extrabold" w:cstheme="majorBidi"/>
      <w:b/>
      <w:bCs/>
      <w:color w:val="000000" w:themeColor="text1"/>
      <w:spacing w:val="10"/>
      <w:sz w:val="52"/>
      <w:szCs w:val="28"/>
      <w:lang w:val="en-GB"/>
    </w:rPr>
  </w:style>
  <w:style w:type="paragraph" w:styleId="Subtitle">
    <w:name w:val="Subtitle"/>
    <w:basedOn w:val="Normal"/>
    <w:next w:val="Publicationtype"/>
    <w:link w:val="SubtitleChar"/>
    <w:uiPriority w:val="2"/>
    <w:unhideWhenUsed/>
    <w:rsid w:val="0084087A"/>
    <w:pPr>
      <w:keepNext/>
      <w:keepLines/>
      <w:spacing w:before="200" w:after="480"/>
      <w:ind w:left="737"/>
    </w:pPr>
    <w:rPr>
      <w:rFonts w:ascii="HelveticaNeueLT Std" w:eastAsiaTheme="majorEastAsia" w:hAnsi="HelveticaNeueLT Std" w:cstheme="majorBidi"/>
      <w:bCs/>
      <w:color w:val="808080"/>
      <w:sz w:val="36"/>
      <w:szCs w:val="28"/>
    </w:rPr>
  </w:style>
  <w:style w:type="character" w:customStyle="1" w:styleId="SubtitleChar">
    <w:name w:val="Subtitle Char"/>
    <w:basedOn w:val="DefaultParagraphFont"/>
    <w:link w:val="Subtitle"/>
    <w:uiPriority w:val="2"/>
    <w:rsid w:val="0084087A"/>
    <w:rPr>
      <w:rFonts w:ascii="HelveticaNeueLT Std" w:eastAsiaTheme="majorEastAsia" w:hAnsi="HelveticaNeueLT Std" w:cstheme="majorBidi"/>
      <w:bCs/>
      <w:color w:val="808080"/>
      <w:sz w:val="36"/>
      <w:szCs w:val="28"/>
      <w:lang w:val="en-GB"/>
    </w:rPr>
  </w:style>
  <w:style w:type="paragraph" w:customStyle="1" w:styleId="Publicationtype">
    <w:name w:val="Publication type"/>
    <w:basedOn w:val="Normal"/>
    <w:next w:val="Heading1"/>
    <w:uiPriority w:val="2"/>
    <w:unhideWhenUsed/>
    <w:rsid w:val="0084087A"/>
    <w:pPr>
      <w:spacing w:after="1080"/>
      <w:ind w:left="737"/>
    </w:pPr>
    <w:rPr>
      <w:rFonts w:ascii="Helvetica" w:hAnsi="Helvetica"/>
      <w:color w:val="000000" w:themeColor="text1"/>
      <w:sz w:val="36"/>
      <w:szCs w:val="36"/>
      <w:lang w:val="en-US"/>
    </w:rPr>
  </w:style>
  <w:style w:type="paragraph" w:customStyle="1" w:styleId="Footercoverpage">
    <w:name w:val="Footer cover page"/>
    <w:basedOn w:val="Normal"/>
    <w:uiPriority w:val="7"/>
    <w:rsid w:val="0084087A"/>
    <w:pPr>
      <w:tabs>
        <w:tab w:val="right" w:pos="9855"/>
      </w:tabs>
      <w:spacing w:after="0" w:line="192" w:lineRule="auto"/>
    </w:pPr>
    <w:rPr>
      <w:rFonts w:asciiTheme="majorHAnsi" w:hAnsiTheme="majorHAnsi"/>
      <w:noProof/>
      <w:color w:val="000000" w:themeColor="text1"/>
      <w:sz w:val="28"/>
      <w:lang w:eastAsia="fr-BE"/>
    </w:rPr>
  </w:style>
  <w:style w:type="paragraph" w:customStyle="1" w:styleId="Highlightstitle">
    <w:name w:val="Highlights title"/>
    <w:basedOn w:val="Normal"/>
    <w:next w:val="Normal"/>
    <w:uiPriority w:val="6"/>
    <w:qFormat/>
    <w:rsid w:val="0084087A"/>
    <w:pPr>
      <w:spacing w:before="9000"/>
      <w:ind w:left="1985"/>
    </w:pPr>
    <w:rPr>
      <w:rFonts w:asciiTheme="majorHAnsi" w:hAnsiTheme="majorHAnsi"/>
      <w:sz w:val="22"/>
    </w:rPr>
  </w:style>
  <w:style w:type="paragraph" w:customStyle="1" w:styleId="Highlightstext">
    <w:name w:val="Highlights text"/>
    <w:basedOn w:val="Highlightstitle"/>
    <w:uiPriority w:val="6"/>
    <w:qFormat/>
    <w:rsid w:val="0084087A"/>
    <w:pPr>
      <w:spacing w:before="200"/>
      <w:jc w:val="both"/>
    </w:pPr>
    <w:rPr>
      <w:rFonts w:asciiTheme="minorHAnsi" w:hAnsiTheme="minorHAnsi"/>
      <w:sz w:val="20"/>
    </w:rPr>
  </w:style>
  <w:style w:type="table" w:styleId="TableGrid">
    <w:name w:val="Table Grid"/>
    <w:basedOn w:val="TableNormal"/>
    <w:uiPriority w:val="59"/>
    <w:rsid w:val="0084087A"/>
    <w:pPr>
      <w:spacing w:after="0" w:line="240" w:lineRule="auto"/>
    </w:pPr>
    <w:rPr>
      <w:sz w:val="20"/>
      <w:szCs w:val="20"/>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Paragraphsettings"/>
    <w:link w:val="TextChar"/>
    <w:uiPriority w:val="2"/>
    <w:qFormat/>
    <w:rsid w:val="0084087A"/>
    <w:pPr>
      <w:spacing w:before="200"/>
      <w:jc w:val="both"/>
    </w:pPr>
    <w:rPr>
      <w:rFonts w:ascii="HelveticaNeueLT Std" w:hAnsi="HelveticaNeueLT Std"/>
    </w:rPr>
  </w:style>
  <w:style w:type="paragraph" w:customStyle="1" w:styleId="TextDraft">
    <w:name w:val="Text Draft"/>
    <w:basedOn w:val="Text"/>
    <w:qFormat/>
    <w:rsid w:val="0084087A"/>
    <w:pPr>
      <w:numPr>
        <w:numId w:val="10"/>
      </w:numPr>
      <w:ind w:left="0" w:hanging="357"/>
    </w:pPr>
  </w:style>
  <w:style w:type="paragraph" w:customStyle="1" w:styleId="TextListBullets">
    <w:name w:val="Text List Bullets"/>
    <w:basedOn w:val="Text"/>
    <w:link w:val="TextListBulletsChar"/>
    <w:qFormat/>
    <w:rsid w:val="0084087A"/>
    <w:pPr>
      <w:numPr>
        <w:numId w:val="35"/>
      </w:numPr>
      <w:spacing w:before="80" w:after="80"/>
    </w:pPr>
  </w:style>
  <w:style w:type="paragraph" w:customStyle="1" w:styleId="TextNumberedParagraphs">
    <w:name w:val="Text Numbered Paragraphs"/>
    <w:basedOn w:val="Text"/>
    <w:rsid w:val="0084087A"/>
    <w:pPr>
      <w:numPr>
        <w:numId w:val="6"/>
      </w:numPr>
      <w:ind w:left="357" w:hanging="357"/>
    </w:pPr>
  </w:style>
  <w:style w:type="character" w:customStyle="1" w:styleId="TextChar">
    <w:name w:val="Text Char"/>
    <w:basedOn w:val="DefaultParagraphFont"/>
    <w:link w:val="Text"/>
    <w:uiPriority w:val="2"/>
    <w:rsid w:val="0084087A"/>
    <w:rPr>
      <w:rFonts w:ascii="HelveticaNeueLT Std" w:hAnsi="HelveticaNeueLT Std"/>
      <w:sz w:val="20"/>
      <w:szCs w:val="20"/>
      <w:lang w:val="en-GB"/>
    </w:rPr>
  </w:style>
  <w:style w:type="character" w:customStyle="1" w:styleId="TextListBulletsChar">
    <w:name w:val="Text List Bullets Char"/>
    <w:basedOn w:val="TextChar"/>
    <w:link w:val="TextListBullets"/>
    <w:rsid w:val="0084087A"/>
    <w:rPr>
      <w:rFonts w:ascii="HelveticaNeueLT Std" w:hAnsi="HelveticaNeueLT Std"/>
      <w:sz w:val="20"/>
      <w:szCs w:val="20"/>
      <w:lang w:val="en-GB"/>
    </w:rPr>
  </w:style>
  <w:style w:type="paragraph" w:customStyle="1" w:styleId="TextListnumbered">
    <w:name w:val="Text List numbered"/>
    <w:basedOn w:val="Text"/>
    <w:qFormat/>
    <w:rsid w:val="0084087A"/>
    <w:pPr>
      <w:numPr>
        <w:numId w:val="3"/>
      </w:numPr>
      <w:spacing w:before="80" w:after="80"/>
    </w:pPr>
  </w:style>
  <w:style w:type="paragraph" w:customStyle="1" w:styleId="HeadingToC">
    <w:name w:val="Heading ToC"/>
    <w:basedOn w:val="Heading1"/>
    <w:next w:val="TOC1"/>
    <w:qFormat/>
    <w:rsid w:val="0084087A"/>
    <w:pPr>
      <w:spacing w:before="0"/>
      <w:outlineLvl w:val="9"/>
    </w:pPr>
    <w:rPr>
      <w:color w:val="FFCC00"/>
    </w:rPr>
  </w:style>
  <w:style w:type="paragraph" w:styleId="TOC2">
    <w:name w:val="toc 2"/>
    <w:basedOn w:val="Normal"/>
    <w:next w:val="Normal"/>
    <w:autoRedefine/>
    <w:uiPriority w:val="39"/>
    <w:unhideWhenUsed/>
    <w:rsid w:val="0084087A"/>
    <w:pPr>
      <w:spacing w:after="100"/>
      <w:ind w:left="220"/>
    </w:pPr>
  </w:style>
  <w:style w:type="paragraph" w:styleId="TOC1">
    <w:name w:val="toc 1"/>
    <w:basedOn w:val="Normal"/>
    <w:next w:val="Normal"/>
    <w:autoRedefine/>
    <w:uiPriority w:val="39"/>
    <w:unhideWhenUsed/>
    <w:rsid w:val="0084087A"/>
    <w:pPr>
      <w:tabs>
        <w:tab w:val="right" w:leader="dot" w:pos="9854"/>
      </w:tabs>
      <w:spacing w:before="200" w:after="100"/>
    </w:pPr>
    <w:rPr>
      <w:b/>
      <w:noProof/>
    </w:rPr>
  </w:style>
  <w:style w:type="paragraph" w:styleId="TOC3">
    <w:name w:val="toc 3"/>
    <w:basedOn w:val="Normal"/>
    <w:next w:val="Normal"/>
    <w:autoRedefine/>
    <w:uiPriority w:val="39"/>
    <w:unhideWhenUsed/>
    <w:rsid w:val="0084087A"/>
    <w:pPr>
      <w:spacing w:after="100"/>
      <w:ind w:left="440"/>
    </w:pPr>
  </w:style>
  <w:style w:type="character" w:styleId="Hyperlink">
    <w:name w:val="Hyperlink"/>
    <w:basedOn w:val="DefaultParagraphFont"/>
    <w:uiPriority w:val="99"/>
    <w:unhideWhenUsed/>
    <w:rsid w:val="0084087A"/>
    <w:rPr>
      <w:rFonts w:asciiTheme="minorHAnsi" w:hAnsiTheme="minorHAnsi"/>
      <w:color w:val="002060"/>
      <w:sz w:val="20"/>
      <w:u w:val="single"/>
    </w:rPr>
  </w:style>
  <w:style w:type="character" w:styleId="PlaceholderText">
    <w:name w:val="Placeholder Text"/>
    <w:basedOn w:val="DefaultParagraphFont"/>
    <w:uiPriority w:val="99"/>
    <w:semiHidden/>
    <w:rsid w:val="0084087A"/>
    <w:rPr>
      <w:color w:val="808080"/>
    </w:rPr>
  </w:style>
  <w:style w:type="paragraph" w:customStyle="1" w:styleId="TextAccentBoxABlack">
    <w:name w:val="Text Accent Box A Black"/>
    <w:basedOn w:val="Normal"/>
    <w:qFormat/>
    <w:rsid w:val="0084087A"/>
    <w:pPr>
      <w:pBdr>
        <w:top w:val="single" w:sz="36" w:space="1" w:color="FFCC00" w:themeColor="accent1"/>
      </w:pBdr>
      <w:spacing w:line="240" w:lineRule="auto"/>
    </w:pPr>
    <w:rPr>
      <w:i/>
    </w:rPr>
  </w:style>
  <w:style w:type="paragraph" w:customStyle="1" w:styleId="TextAccentBoxBcolor">
    <w:name w:val="Text Accent Box B color"/>
    <w:basedOn w:val="Normal"/>
    <w:uiPriority w:val="5"/>
    <w:rsid w:val="0084087A"/>
    <w:pPr>
      <w:pBdr>
        <w:top w:val="single" w:sz="36" w:space="1" w:color="FFCC00" w:themeColor="accent1"/>
      </w:pBdr>
      <w:spacing w:line="240" w:lineRule="auto"/>
    </w:pPr>
    <w:rPr>
      <w:b/>
      <w:color w:val="FFCC00" w:themeColor="accent1"/>
      <w:sz w:val="24"/>
    </w:rPr>
  </w:style>
  <w:style w:type="character" w:styleId="Emphasis">
    <w:name w:val="Emphasis"/>
    <w:basedOn w:val="DefaultParagraphFont"/>
    <w:uiPriority w:val="1"/>
    <w:qFormat/>
    <w:rsid w:val="0084087A"/>
    <w:rPr>
      <w:rFonts w:asciiTheme="minorHAnsi" w:hAnsiTheme="minorHAnsi"/>
      <w:b/>
      <w:i w:val="0"/>
      <w:iCs/>
      <w:sz w:val="20"/>
    </w:rPr>
  </w:style>
  <w:style w:type="character" w:styleId="IntenseEmphasis">
    <w:name w:val="Intense Emphasis"/>
    <w:basedOn w:val="DefaultParagraphFont"/>
    <w:uiPriority w:val="21"/>
    <w:qFormat/>
    <w:rsid w:val="0084087A"/>
    <w:rPr>
      <w:b/>
      <w:bCs/>
      <w:i/>
      <w:iCs/>
      <w:color w:val="FFCC00" w:themeColor="accent1"/>
    </w:rPr>
  </w:style>
  <w:style w:type="table" w:styleId="MediumList2-Accent1">
    <w:name w:val="Medium List 2 Accent 1"/>
    <w:basedOn w:val="TableNormal"/>
    <w:uiPriority w:val="66"/>
    <w:rsid w:val="0084087A"/>
    <w:pPr>
      <w:spacing w:after="0" w:line="240" w:lineRule="auto"/>
    </w:pPr>
    <w:rPr>
      <w:rFonts w:asciiTheme="majorHAnsi" w:eastAsiaTheme="majorEastAsia" w:hAnsiTheme="majorHAnsi" w:cstheme="majorBidi"/>
      <w:color w:val="000000" w:themeColor="text1"/>
      <w:sz w:val="20"/>
      <w:szCs w:val="20"/>
      <w:lang w:eastAsia="ja-JP"/>
    </w:rPr>
    <w:tblPr>
      <w:tblStyleRowBandSize w:val="1"/>
      <w:tblStyleColBandSize w:val="1"/>
      <w:tblBorders>
        <w:top w:val="single" w:sz="8" w:space="0" w:color="FFCC00" w:themeColor="accent1"/>
        <w:left w:val="single" w:sz="8" w:space="0" w:color="FFCC00" w:themeColor="accent1"/>
        <w:bottom w:val="single" w:sz="8" w:space="0" w:color="FFCC00" w:themeColor="accent1"/>
        <w:right w:val="single" w:sz="8" w:space="0" w:color="FFCC00" w:themeColor="accent1"/>
      </w:tblBorders>
    </w:tblPr>
    <w:tblStylePr w:type="firstRow">
      <w:rPr>
        <w:sz w:val="24"/>
        <w:szCs w:val="24"/>
      </w:rPr>
      <w:tblPr/>
      <w:tcPr>
        <w:tcBorders>
          <w:top w:val="nil"/>
          <w:left w:val="nil"/>
          <w:bottom w:val="single" w:sz="24" w:space="0" w:color="FFCC00" w:themeColor="accent1"/>
          <w:right w:val="nil"/>
          <w:insideH w:val="nil"/>
          <w:insideV w:val="nil"/>
        </w:tcBorders>
        <w:shd w:val="clear" w:color="auto" w:fill="FFFFFF" w:themeFill="background1"/>
      </w:tcPr>
    </w:tblStylePr>
    <w:tblStylePr w:type="lastRow">
      <w:tblPr/>
      <w:tcPr>
        <w:tcBorders>
          <w:top w:val="single" w:sz="8" w:space="0" w:color="FFCC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C00" w:themeColor="accent1"/>
          <w:insideH w:val="nil"/>
          <w:insideV w:val="nil"/>
        </w:tcBorders>
        <w:shd w:val="clear" w:color="auto" w:fill="FFFFFF" w:themeFill="background1"/>
      </w:tcPr>
    </w:tblStylePr>
    <w:tblStylePr w:type="lastCol">
      <w:tblPr/>
      <w:tcPr>
        <w:tcBorders>
          <w:top w:val="nil"/>
          <w:left w:val="single" w:sz="8" w:space="0" w:color="FFCC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C0" w:themeFill="accent1" w:themeFillTint="3F"/>
      </w:tcPr>
    </w:tblStylePr>
    <w:tblStylePr w:type="band1Horz">
      <w:tblPr/>
      <w:tcPr>
        <w:tcBorders>
          <w:top w:val="nil"/>
          <w:bottom w:val="nil"/>
          <w:insideH w:val="nil"/>
          <w:insideV w:val="nil"/>
        </w:tcBorders>
        <w:shd w:val="clear" w:color="auto" w:fill="FFF2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CommentReference">
    <w:name w:val="annotation reference"/>
    <w:basedOn w:val="DefaultParagraphFont"/>
    <w:uiPriority w:val="99"/>
    <w:semiHidden/>
    <w:unhideWhenUsed/>
    <w:rsid w:val="0084087A"/>
    <w:rPr>
      <w:sz w:val="16"/>
      <w:szCs w:val="16"/>
    </w:rPr>
  </w:style>
  <w:style w:type="paragraph" w:styleId="CommentText">
    <w:name w:val="annotation text"/>
    <w:basedOn w:val="Normal"/>
    <w:link w:val="CommentTextChar"/>
    <w:uiPriority w:val="99"/>
    <w:semiHidden/>
    <w:unhideWhenUsed/>
    <w:rsid w:val="0084087A"/>
    <w:pPr>
      <w:spacing w:line="240" w:lineRule="auto"/>
    </w:pPr>
  </w:style>
  <w:style w:type="character" w:customStyle="1" w:styleId="CommentTextChar">
    <w:name w:val="Comment Text Char"/>
    <w:basedOn w:val="DefaultParagraphFont"/>
    <w:link w:val="CommentText"/>
    <w:uiPriority w:val="99"/>
    <w:semiHidden/>
    <w:rsid w:val="0084087A"/>
    <w:rPr>
      <w:sz w:val="20"/>
      <w:szCs w:val="20"/>
      <w:lang w:val="en-GB"/>
    </w:rPr>
  </w:style>
  <w:style w:type="paragraph" w:styleId="CommentSubject">
    <w:name w:val="annotation subject"/>
    <w:basedOn w:val="CommentText"/>
    <w:next w:val="CommentText"/>
    <w:link w:val="CommentSubjectChar"/>
    <w:uiPriority w:val="99"/>
    <w:semiHidden/>
    <w:unhideWhenUsed/>
    <w:rsid w:val="0084087A"/>
    <w:rPr>
      <w:b/>
      <w:bCs/>
    </w:rPr>
  </w:style>
  <w:style w:type="character" w:customStyle="1" w:styleId="CommentSubjectChar">
    <w:name w:val="Comment Subject Char"/>
    <w:basedOn w:val="CommentTextChar"/>
    <w:link w:val="CommentSubject"/>
    <w:uiPriority w:val="99"/>
    <w:semiHidden/>
    <w:rsid w:val="0084087A"/>
    <w:rPr>
      <w:b/>
      <w:bCs/>
      <w:sz w:val="20"/>
      <w:szCs w:val="20"/>
      <w:lang w:val="en-GB"/>
    </w:rPr>
  </w:style>
  <w:style w:type="table" w:styleId="MediumShading1-Accent1">
    <w:name w:val="Medium Shading 1 Accent 1"/>
    <w:basedOn w:val="TableNormal"/>
    <w:uiPriority w:val="63"/>
    <w:rsid w:val="0084087A"/>
    <w:pPr>
      <w:spacing w:after="0" w:line="240" w:lineRule="auto"/>
    </w:pPr>
    <w:rPr>
      <w:sz w:val="20"/>
      <w:szCs w:val="20"/>
      <w:lang w:val="fr-BE"/>
    </w:rPr>
    <w:tblPr>
      <w:tblStyleRowBandSize w:val="1"/>
      <w:tblStyleColBandSize w:val="1"/>
      <w:tblBorders>
        <w:top w:val="single" w:sz="8" w:space="0" w:color="FFD840" w:themeColor="accent1" w:themeTint="BF"/>
        <w:left w:val="single" w:sz="8" w:space="0" w:color="FFD840" w:themeColor="accent1" w:themeTint="BF"/>
        <w:bottom w:val="single" w:sz="8" w:space="0" w:color="FFD840" w:themeColor="accent1" w:themeTint="BF"/>
        <w:right w:val="single" w:sz="8" w:space="0" w:color="FFD840" w:themeColor="accent1" w:themeTint="BF"/>
        <w:insideH w:val="single" w:sz="8" w:space="0" w:color="FFD840" w:themeColor="accent1" w:themeTint="BF"/>
      </w:tblBorders>
    </w:tblPr>
    <w:tblStylePr w:type="firstRow">
      <w:pPr>
        <w:spacing w:before="0" w:after="0" w:line="240" w:lineRule="auto"/>
      </w:pPr>
      <w:rPr>
        <w:b/>
        <w:bCs/>
        <w:color w:val="FFFFFF" w:themeColor="background1"/>
      </w:rPr>
      <w:tblPr/>
      <w:tcPr>
        <w:tcBorders>
          <w:top w:val="single" w:sz="8" w:space="0" w:color="FFD840" w:themeColor="accent1" w:themeTint="BF"/>
          <w:left w:val="single" w:sz="8" w:space="0" w:color="FFD840" w:themeColor="accent1" w:themeTint="BF"/>
          <w:bottom w:val="single" w:sz="8" w:space="0" w:color="FFD840" w:themeColor="accent1" w:themeTint="BF"/>
          <w:right w:val="single" w:sz="8" w:space="0" w:color="FFD840" w:themeColor="accent1" w:themeTint="BF"/>
          <w:insideH w:val="nil"/>
          <w:insideV w:val="nil"/>
        </w:tcBorders>
        <w:shd w:val="clear" w:color="auto" w:fill="FFCC00" w:themeFill="accent1"/>
      </w:tcPr>
    </w:tblStylePr>
    <w:tblStylePr w:type="lastRow">
      <w:pPr>
        <w:spacing w:before="0" w:after="0" w:line="240" w:lineRule="auto"/>
      </w:pPr>
      <w:rPr>
        <w:b/>
        <w:bCs/>
      </w:rPr>
      <w:tblPr/>
      <w:tcPr>
        <w:tcBorders>
          <w:top w:val="double" w:sz="6" w:space="0" w:color="FFD840" w:themeColor="accent1" w:themeTint="BF"/>
          <w:left w:val="single" w:sz="8" w:space="0" w:color="FFD840" w:themeColor="accent1" w:themeTint="BF"/>
          <w:bottom w:val="single" w:sz="8" w:space="0" w:color="FFD840" w:themeColor="accent1" w:themeTint="BF"/>
          <w:right w:val="single" w:sz="8" w:space="0" w:color="FFD8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2C0" w:themeFill="accent1" w:themeFillTint="3F"/>
      </w:tcPr>
    </w:tblStylePr>
    <w:tblStylePr w:type="band1Horz">
      <w:tblPr/>
      <w:tcPr>
        <w:tcBorders>
          <w:insideH w:val="nil"/>
          <w:insideV w:val="nil"/>
        </w:tcBorders>
        <w:shd w:val="clear" w:color="auto" w:fill="FFF2C0"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84087A"/>
    <w:pPr>
      <w:spacing w:after="0" w:line="240" w:lineRule="auto"/>
    </w:pPr>
    <w:rPr>
      <w:sz w:val="20"/>
      <w:szCs w:val="20"/>
      <w:lang w:val="fr-BE"/>
    </w:rPr>
    <w:tblPr>
      <w:tblStyleRowBandSize w:val="1"/>
      <w:tblStyleColBandSize w:val="1"/>
      <w:tblBorders>
        <w:top w:val="single" w:sz="8" w:space="0" w:color="FFCC00" w:themeColor="accent1"/>
        <w:left w:val="single" w:sz="8" w:space="0" w:color="FFCC00" w:themeColor="accent1"/>
        <w:bottom w:val="single" w:sz="8" w:space="0" w:color="FFCC00" w:themeColor="accent1"/>
        <w:right w:val="single" w:sz="8" w:space="0" w:color="FFCC00" w:themeColor="accent1"/>
      </w:tblBorders>
    </w:tblPr>
    <w:tblStylePr w:type="firstRow">
      <w:pPr>
        <w:spacing w:before="0" w:after="0" w:line="240" w:lineRule="auto"/>
      </w:pPr>
      <w:rPr>
        <w:b/>
        <w:bCs/>
        <w:color w:val="FFFFFF" w:themeColor="background1"/>
      </w:rPr>
      <w:tblPr/>
      <w:tcPr>
        <w:shd w:val="clear" w:color="auto" w:fill="FFCC00" w:themeFill="accent1"/>
      </w:tcPr>
    </w:tblStylePr>
    <w:tblStylePr w:type="lastRow">
      <w:pPr>
        <w:spacing w:before="0" w:after="0" w:line="240" w:lineRule="auto"/>
      </w:pPr>
      <w:rPr>
        <w:b/>
        <w:bCs/>
      </w:rPr>
      <w:tblPr/>
      <w:tcPr>
        <w:tcBorders>
          <w:top w:val="double" w:sz="6" w:space="0" w:color="FFCC00" w:themeColor="accent1"/>
          <w:left w:val="single" w:sz="8" w:space="0" w:color="FFCC00" w:themeColor="accent1"/>
          <w:bottom w:val="single" w:sz="8" w:space="0" w:color="FFCC00" w:themeColor="accent1"/>
          <w:right w:val="single" w:sz="8" w:space="0" w:color="FFCC00" w:themeColor="accent1"/>
        </w:tcBorders>
      </w:tcPr>
    </w:tblStylePr>
    <w:tblStylePr w:type="firstCol">
      <w:rPr>
        <w:b/>
        <w:bCs/>
      </w:rPr>
    </w:tblStylePr>
    <w:tblStylePr w:type="lastCol">
      <w:rPr>
        <w:b/>
        <w:bCs/>
      </w:rPr>
    </w:tblStylePr>
    <w:tblStylePr w:type="band1Vert">
      <w:tblPr/>
      <w:tcPr>
        <w:tcBorders>
          <w:top w:val="single" w:sz="8" w:space="0" w:color="FFCC00" w:themeColor="accent1"/>
          <w:left w:val="single" w:sz="8" w:space="0" w:color="FFCC00" w:themeColor="accent1"/>
          <w:bottom w:val="single" w:sz="8" w:space="0" w:color="FFCC00" w:themeColor="accent1"/>
          <w:right w:val="single" w:sz="8" w:space="0" w:color="FFCC00" w:themeColor="accent1"/>
        </w:tcBorders>
      </w:tcPr>
    </w:tblStylePr>
    <w:tblStylePr w:type="band1Horz">
      <w:tblPr/>
      <w:tcPr>
        <w:tcBorders>
          <w:top w:val="single" w:sz="8" w:space="0" w:color="FFCC00" w:themeColor="accent1"/>
          <w:left w:val="single" w:sz="8" w:space="0" w:color="FFCC00" w:themeColor="accent1"/>
          <w:bottom w:val="single" w:sz="8" w:space="0" w:color="FFCC00" w:themeColor="accent1"/>
          <w:right w:val="single" w:sz="8" w:space="0" w:color="FFCC00" w:themeColor="accent1"/>
        </w:tcBorders>
      </w:tcPr>
    </w:tblStylePr>
  </w:style>
  <w:style w:type="table" w:customStyle="1" w:styleId="FEEColored">
    <w:name w:val="FEE Colored"/>
    <w:basedOn w:val="FEESimple"/>
    <w:uiPriority w:val="99"/>
    <w:rsid w:val="0084087A"/>
    <w:pPr>
      <w:spacing w:after="0"/>
    </w:pPr>
    <w:tblPr/>
    <w:tblStylePr w:type="firstRow">
      <w:rPr>
        <w:b/>
        <w:color w:val="FFFFFF" w:themeColor="background1"/>
      </w:rPr>
      <w:tblPr/>
      <w:tcPr>
        <w:tcBorders>
          <w:top w:val="single" w:sz="4" w:space="0" w:color="FFCC00" w:themeColor="accent1"/>
          <w:left w:val="single" w:sz="4" w:space="0" w:color="FFCC00" w:themeColor="accent1"/>
          <w:bottom w:val="single" w:sz="18" w:space="0" w:color="FFCC00" w:themeColor="accent1"/>
          <w:right w:val="single" w:sz="4" w:space="0" w:color="FFCC00" w:themeColor="accent1"/>
          <w:insideH w:val="single" w:sz="4" w:space="0" w:color="FFCC00" w:themeColor="accent1"/>
          <w:insideV w:val="single" w:sz="4" w:space="0" w:color="FFCC00" w:themeColor="accent1"/>
          <w:tl2br w:val="nil"/>
          <w:tr2bl w:val="nil"/>
        </w:tcBorders>
        <w:shd w:val="clear" w:color="auto" w:fill="FFCC00" w:themeFill="accent1"/>
      </w:tcPr>
    </w:tblStylePr>
    <w:tblStylePr w:type="firstCol">
      <w:rPr>
        <w:b/>
        <w:color w:val="FFFFFF" w:themeColor="background1"/>
      </w:rPr>
      <w:tblPr/>
      <w:tcPr>
        <w:shd w:val="clear" w:color="auto" w:fill="FFCC00" w:themeFill="accent1"/>
      </w:tcPr>
    </w:tblStylePr>
  </w:style>
  <w:style w:type="paragraph" w:customStyle="1" w:styleId="Tabletext">
    <w:name w:val="Table text"/>
    <w:basedOn w:val="Normal"/>
    <w:link w:val="TabletextChar"/>
    <w:qFormat/>
    <w:rsid w:val="0084087A"/>
    <w:pPr>
      <w:keepNext/>
      <w:spacing w:before="60" w:after="60" w:line="240" w:lineRule="auto"/>
    </w:pPr>
    <w:rPr>
      <w:rFonts w:ascii="HelveticaNeueLT Std" w:hAnsi="HelveticaNeueLT Std"/>
      <w:sz w:val="18"/>
    </w:rPr>
  </w:style>
  <w:style w:type="paragraph" w:customStyle="1" w:styleId="Paragraphsettings">
    <w:name w:val="Paragraph settings"/>
    <w:basedOn w:val="Normal"/>
    <w:next w:val="Text"/>
    <w:uiPriority w:val="14"/>
    <w:semiHidden/>
    <w:qFormat/>
    <w:rsid w:val="0084087A"/>
  </w:style>
  <w:style w:type="table" w:styleId="MediumGrid3-Accent1">
    <w:name w:val="Medium Grid 3 Accent 1"/>
    <w:basedOn w:val="TableNormal"/>
    <w:uiPriority w:val="69"/>
    <w:rsid w:val="0084087A"/>
    <w:pPr>
      <w:spacing w:after="0" w:line="240" w:lineRule="auto"/>
    </w:pPr>
    <w:rPr>
      <w:sz w:val="20"/>
      <w:szCs w:val="20"/>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C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C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C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C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5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580" w:themeFill="accent1" w:themeFillTint="7F"/>
      </w:tcPr>
    </w:tblStylePr>
  </w:style>
  <w:style w:type="table" w:styleId="MediumShading2-Accent1">
    <w:name w:val="Medium Shading 2 Accent 1"/>
    <w:basedOn w:val="TableNormal"/>
    <w:uiPriority w:val="64"/>
    <w:rsid w:val="0084087A"/>
    <w:pPr>
      <w:spacing w:after="0" w:line="240" w:lineRule="auto"/>
    </w:pPr>
    <w:rPr>
      <w:sz w:val="20"/>
      <w:szCs w:val="20"/>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C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C00" w:themeFill="accent1"/>
      </w:tcPr>
    </w:tblStylePr>
    <w:tblStylePr w:type="lastCol">
      <w:rPr>
        <w:b/>
        <w:bCs/>
        <w:color w:val="FFFFFF" w:themeColor="background1"/>
      </w:rPr>
      <w:tblPr/>
      <w:tcPr>
        <w:tcBorders>
          <w:left w:val="nil"/>
          <w:right w:val="nil"/>
          <w:insideH w:val="nil"/>
          <w:insideV w:val="nil"/>
        </w:tcBorders>
        <w:shd w:val="clear" w:color="auto" w:fill="FFCC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aption">
    <w:name w:val="caption"/>
    <w:aliases w:val="Table Title"/>
    <w:basedOn w:val="Normal"/>
    <w:next w:val="Normal"/>
    <w:uiPriority w:val="4"/>
    <w:rsid w:val="0084087A"/>
    <w:pPr>
      <w:keepNext/>
      <w:spacing w:before="200" w:after="60"/>
      <w:jc w:val="both"/>
    </w:pPr>
    <w:rPr>
      <w:b/>
      <w:color w:val="FFCC00" w:themeColor="accent1"/>
    </w:rPr>
  </w:style>
  <w:style w:type="table" w:customStyle="1" w:styleId="FEESimple">
    <w:name w:val="FEE Simple"/>
    <w:basedOn w:val="TableNormal"/>
    <w:uiPriority w:val="99"/>
    <w:rsid w:val="0084087A"/>
    <w:pPr>
      <w:keepNext/>
      <w:spacing w:before="60" w:after="60" w:line="240" w:lineRule="auto"/>
    </w:pPr>
    <w:rPr>
      <w:sz w:val="20"/>
      <w:szCs w:val="20"/>
      <w:lang w:val="fr-BE"/>
    </w:rPr>
    <w:tblPr>
      <w:tblBorders>
        <w:top w:val="single" w:sz="4" w:space="0" w:color="FFCC00" w:themeColor="accent1"/>
        <w:left w:val="single" w:sz="4" w:space="0" w:color="FFCC00" w:themeColor="accent1"/>
        <w:bottom w:val="single" w:sz="4" w:space="0" w:color="FFCC00" w:themeColor="accent1"/>
        <w:right w:val="single" w:sz="4" w:space="0" w:color="FFCC00" w:themeColor="accent1"/>
        <w:insideH w:val="single" w:sz="4" w:space="0" w:color="FFCC00" w:themeColor="accent1"/>
        <w:insideV w:val="single" w:sz="4" w:space="0" w:color="FFCC00" w:themeColor="accent1"/>
      </w:tblBorders>
    </w:tblPr>
    <w:tblStylePr w:type="firstRow">
      <w:rPr>
        <w:b/>
      </w:rPr>
      <w:tblPr/>
      <w:tcPr>
        <w:tcBorders>
          <w:top w:val="single" w:sz="4" w:space="0" w:color="FFCC00" w:themeColor="accent1"/>
          <w:left w:val="single" w:sz="4" w:space="0" w:color="FFCC00" w:themeColor="accent1"/>
          <w:bottom w:val="single" w:sz="18" w:space="0" w:color="FFCC00" w:themeColor="accent1"/>
          <w:right w:val="single" w:sz="4" w:space="0" w:color="FFCC00" w:themeColor="accent1"/>
          <w:insideH w:val="single" w:sz="4" w:space="0" w:color="FFCC00" w:themeColor="accent1"/>
          <w:insideV w:val="single" w:sz="4" w:space="0" w:color="FFCC00" w:themeColor="accent1"/>
          <w:tl2br w:val="nil"/>
          <w:tr2bl w:val="nil"/>
        </w:tcBorders>
      </w:tcPr>
    </w:tblStylePr>
    <w:tblStylePr w:type="firstCol">
      <w:rPr>
        <w:b/>
      </w:rPr>
    </w:tblStylePr>
  </w:style>
  <w:style w:type="paragraph" w:customStyle="1" w:styleId="Tablecaptionbelow">
    <w:name w:val="Table caption below"/>
    <w:basedOn w:val="Text"/>
    <w:next w:val="Text"/>
    <w:uiPriority w:val="4"/>
    <w:rsid w:val="0084087A"/>
    <w:pPr>
      <w:spacing w:before="60" w:line="240" w:lineRule="auto"/>
    </w:pPr>
    <w:rPr>
      <w:sz w:val="18"/>
    </w:rPr>
  </w:style>
  <w:style w:type="paragraph" w:customStyle="1" w:styleId="Heading1topofsection">
    <w:name w:val="Heading 1 top of section"/>
    <w:basedOn w:val="Heading1"/>
    <w:next w:val="Text"/>
    <w:uiPriority w:val="3"/>
    <w:rsid w:val="0084087A"/>
    <w:pPr>
      <w:spacing w:before="0"/>
    </w:pPr>
  </w:style>
  <w:style w:type="character" w:styleId="Strong">
    <w:name w:val="Strong"/>
    <w:basedOn w:val="DefaultParagraphFont"/>
    <w:uiPriority w:val="22"/>
    <w:qFormat/>
    <w:rsid w:val="0084087A"/>
    <w:rPr>
      <w:b/>
      <w:bCs/>
    </w:rPr>
  </w:style>
  <w:style w:type="character" w:customStyle="1" w:styleId="Reference">
    <w:name w:val="Reference"/>
    <w:basedOn w:val="DefaultParagraphFont"/>
    <w:uiPriority w:val="1"/>
    <w:qFormat/>
    <w:rsid w:val="0084087A"/>
    <w:rPr>
      <w:rFonts w:asciiTheme="minorHAnsi" w:hAnsiTheme="minorHAnsi"/>
      <w:b w:val="0"/>
      <w:bCs w:val="0"/>
      <w:i/>
      <w:sz w:val="20"/>
    </w:rPr>
  </w:style>
  <w:style w:type="paragraph" w:customStyle="1" w:styleId="TextAccentBoxCQuotation">
    <w:name w:val="Text Accent Box C Quotation"/>
    <w:basedOn w:val="Normal"/>
    <w:qFormat/>
    <w:rsid w:val="0084087A"/>
    <w:pPr>
      <w:spacing w:after="80" w:line="240" w:lineRule="auto"/>
    </w:pPr>
    <w:rPr>
      <w:i/>
    </w:rPr>
  </w:style>
  <w:style w:type="paragraph" w:styleId="TableofFigures">
    <w:name w:val="table of figures"/>
    <w:basedOn w:val="Normal"/>
    <w:next w:val="Normal"/>
    <w:uiPriority w:val="99"/>
    <w:semiHidden/>
    <w:rsid w:val="0084087A"/>
    <w:pPr>
      <w:spacing w:after="0"/>
    </w:pPr>
  </w:style>
  <w:style w:type="paragraph" w:styleId="TOAHeading">
    <w:name w:val="toa heading"/>
    <w:basedOn w:val="Normal"/>
    <w:next w:val="Normal"/>
    <w:uiPriority w:val="99"/>
    <w:semiHidden/>
    <w:unhideWhenUsed/>
    <w:rsid w:val="0084087A"/>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84087A"/>
    <w:pPr>
      <w:spacing w:after="0"/>
      <w:ind w:left="220" w:hanging="220"/>
    </w:pPr>
  </w:style>
  <w:style w:type="paragraph" w:customStyle="1" w:styleId="Addressline">
    <w:name w:val="Address line"/>
    <w:basedOn w:val="Normal"/>
    <w:uiPriority w:val="5"/>
    <w:rsid w:val="0084087A"/>
    <w:pPr>
      <w:spacing w:after="0"/>
      <w:ind w:left="5670"/>
    </w:pPr>
    <w:rPr>
      <w:rFonts w:ascii="HelveticaNeueLT Std" w:hAnsi="HelveticaNeueLT Std"/>
    </w:rPr>
  </w:style>
  <w:style w:type="paragraph" w:customStyle="1" w:styleId="Dateline">
    <w:name w:val="Date line"/>
    <w:basedOn w:val="Normal"/>
    <w:next w:val="Text"/>
    <w:uiPriority w:val="5"/>
    <w:rsid w:val="0084087A"/>
    <w:pPr>
      <w:spacing w:before="600" w:after="360"/>
      <w:ind w:left="5670"/>
    </w:pPr>
    <w:rPr>
      <w:rFonts w:ascii="HelveticaNeueLT Std" w:hAnsi="HelveticaNeueLT Std"/>
    </w:rPr>
  </w:style>
  <w:style w:type="paragraph" w:customStyle="1" w:styleId="Subjectline">
    <w:name w:val="Subject line"/>
    <w:basedOn w:val="Text"/>
    <w:next w:val="Text"/>
    <w:uiPriority w:val="6"/>
    <w:qFormat/>
    <w:rsid w:val="0084087A"/>
    <w:rPr>
      <w:b/>
    </w:rPr>
  </w:style>
  <w:style w:type="paragraph" w:customStyle="1" w:styleId="Signatureline">
    <w:name w:val="Signature line"/>
    <w:basedOn w:val="Text"/>
    <w:next w:val="Text"/>
    <w:uiPriority w:val="6"/>
    <w:qFormat/>
    <w:rsid w:val="0084087A"/>
    <w:pPr>
      <w:tabs>
        <w:tab w:val="left" w:pos="3969"/>
      </w:tabs>
      <w:spacing w:before="0" w:after="0"/>
    </w:pPr>
  </w:style>
  <w:style w:type="paragraph" w:customStyle="1" w:styleId="Textlongcitation">
    <w:name w:val="Text long citation"/>
    <w:basedOn w:val="Text"/>
    <w:uiPriority w:val="6"/>
    <w:qFormat/>
    <w:rsid w:val="0084087A"/>
    <w:pPr>
      <w:spacing w:before="80" w:after="80"/>
      <w:ind w:left="709" w:right="709"/>
    </w:pPr>
    <w:rPr>
      <w:rFonts w:asciiTheme="minorHAnsi" w:hAnsiTheme="minorHAnsi"/>
      <w:i/>
    </w:rPr>
  </w:style>
  <w:style w:type="paragraph" w:customStyle="1" w:styleId="Questiontext">
    <w:name w:val="Question text"/>
    <w:basedOn w:val="Text"/>
    <w:next w:val="Closing"/>
    <w:uiPriority w:val="6"/>
    <w:qFormat/>
    <w:rsid w:val="0084087A"/>
    <w:pPr>
      <w:spacing w:before="80" w:after="80"/>
      <w:ind w:left="709" w:right="709"/>
    </w:pPr>
    <w:rPr>
      <w:i/>
      <w:sz w:val="18"/>
    </w:rPr>
  </w:style>
  <w:style w:type="paragraph" w:styleId="ListParagraph">
    <w:name w:val="List Paragraph"/>
    <w:basedOn w:val="Normal"/>
    <w:uiPriority w:val="34"/>
    <w:qFormat/>
    <w:rsid w:val="0084087A"/>
    <w:pPr>
      <w:ind w:left="720"/>
      <w:contextualSpacing/>
    </w:pPr>
  </w:style>
  <w:style w:type="paragraph" w:customStyle="1" w:styleId="Questionnumbered1">
    <w:name w:val="Question numbered 1."/>
    <w:basedOn w:val="Text"/>
    <w:next w:val="TextDraft"/>
    <w:uiPriority w:val="6"/>
    <w:qFormat/>
    <w:rsid w:val="0084087A"/>
    <w:pPr>
      <w:numPr>
        <w:numId w:val="7"/>
      </w:numPr>
      <w:spacing w:before="80" w:after="80"/>
      <w:ind w:left="1066" w:right="709" w:hanging="357"/>
    </w:pPr>
    <w:rPr>
      <w:i/>
      <w:sz w:val="18"/>
      <w:lang w:val="en-US"/>
    </w:rPr>
  </w:style>
  <w:style w:type="paragraph" w:customStyle="1" w:styleId="Questiontitle">
    <w:name w:val="Question title"/>
    <w:basedOn w:val="Normal"/>
    <w:next w:val="Text"/>
    <w:uiPriority w:val="6"/>
    <w:qFormat/>
    <w:rsid w:val="0084087A"/>
    <w:pPr>
      <w:keepNext/>
      <w:pBdr>
        <w:top w:val="single" w:sz="18" w:space="1" w:color="FFCC00" w:themeColor="accent1"/>
      </w:pBdr>
      <w:spacing w:before="200"/>
      <w:jc w:val="both"/>
    </w:pPr>
    <w:rPr>
      <w:rFonts w:ascii="HelveticaNeueLT Std" w:hAnsi="HelveticaNeueLT Std"/>
      <w:b/>
      <w:color w:val="808080" w:themeColor="accent2"/>
    </w:rPr>
  </w:style>
  <w:style w:type="paragraph" w:customStyle="1" w:styleId="Questionnumbereda">
    <w:name w:val="Question numbered a)"/>
    <w:basedOn w:val="Text"/>
    <w:next w:val="TextDraft"/>
    <w:uiPriority w:val="6"/>
    <w:qFormat/>
    <w:rsid w:val="0084087A"/>
    <w:pPr>
      <w:keepNext/>
      <w:numPr>
        <w:numId w:val="5"/>
      </w:numPr>
      <w:spacing w:before="80" w:after="80"/>
      <w:ind w:left="1066" w:right="709" w:hanging="357"/>
    </w:pPr>
    <w:rPr>
      <w:i/>
      <w:sz w:val="18"/>
    </w:rPr>
  </w:style>
  <w:style w:type="paragraph" w:customStyle="1" w:styleId="Questionsection">
    <w:name w:val="Question section"/>
    <w:basedOn w:val="Text"/>
    <w:next w:val="Text"/>
    <w:uiPriority w:val="6"/>
    <w:rsid w:val="0084087A"/>
    <w:rPr>
      <w:b/>
      <w:color w:val="000000" w:themeColor="text1"/>
    </w:rPr>
  </w:style>
  <w:style w:type="paragraph" w:styleId="TOC5">
    <w:name w:val="toc 5"/>
    <w:basedOn w:val="Normal"/>
    <w:next w:val="Normal"/>
    <w:autoRedefine/>
    <w:uiPriority w:val="39"/>
    <w:unhideWhenUsed/>
    <w:rsid w:val="00BC42F7"/>
    <w:pPr>
      <w:spacing w:after="100"/>
      <w:ind w:left="880"/>
    </w:pPr>
  </w:style>
  <w:style w:type="paragraph" w:styleId="FootnoteText">
    <w:name w:val="footnote text"/>
    <w:basedOn w:val="Normal"/>
    <w:link w:val="FootnoteTextChar"/>
    <w:uiPriority w:val="99"/>
    <w:unhideWhenUsed/>
    <w:rsid w:val="0084087A"/>
    <w:pPr>
      <w:spacing w:after="0" w:line="240" w:lineRule="auto"/>
    </w:pPr>
  </w:style>
  <w:style w:type="character" w:customStyle="1" w:styleId="FootnoteTextChar">
    <w:name w:val="Footnote Text Char"/>
    <w:basedOn w:val="DefaultParagraphFont"/>
    <w:link w:val="FootnoteText"/>
    <w:uiPriority w:val="99"/>
    <w:rsid w:val="0084087A"/>
    <w:rPr>
      <w:sz w:val="20"/>
      <w:szCs w:val="20"/>
      <w:lang w:val="en-GB"/>
    </w:rPr>
  </w:style>
  <w:style w:type="character" w:styleId="FootnoteReference">
    <w:name w:val="footnote reference"/>
    <w:basedOn w:val="DefaultParagraphFont"/>
    <w:uiPriority w:val="99"/>
    <w:semiHidden/>
    <w:unhideWhenUsed/>
    <w:rsid w:val="0084087A"/>
    <w:rPr>
      <w:vertAlign w:val="superscript"/>
    </w:rPr>
  </w:style>
  <w:style w:type="character" w:styleId="Mention">
    <w:name w:val="Mention"/>
    <w:basedOn w:val="DefaultParagraphFont"/>
    <w:uiPriority w:val="99"/>
    <w:semiHidden/>
    <w:unhideWhenUsed/>
    <w:rsid w:val="00715DC7"/>
    <w:rPr>
      <w:color w:val="2B579A"/>
      <w:shd w:val="clear" w:color="auto" w:fill="E6E6E6"/>
    </w:rPr>
  </w:style>
  <w:style w:type="paragraph" w:styleId="Revision">
    <w:name w:val="Revision"/>
    <w:hidden/>
    <w:uiPriority w:val="99"/>
    <w:semiHidden/>
    <w:rsid w:val="00BC42F7"/>
    <w:pPr>
      <w:spacing w:after="0" w:line="240" w:lineRule="auto"/>
    </w:pPr>
    <w:rPr>
      <w:lang w:val="en-GB"/>
    </w:rPr>
  </w:style>
  <w:style w:type="paragraph" w:customStyle="1" w:styleId="TextAccentBoxBcolour">
    <w:name w:val="Text Accent Box B colour"/>
    <w:basedOn w:val="Normal"/>
    <w:qFormat/>
    <w:rsid w:val="0084087A"/>
    <w:pPr>
      <w:pBdr>
        <w:top w:val="single" w:sz="36" w:space="1" w:color="FFCC00" w:themeColor="accent1"/>
      </w:pBdr>
      <w:spacing w:after="120" w:line="240" w:lineRule="auto"/>
    </w:pPr>
    <w:rPr>
      <w:b/>
      <w:color w:val="FFCC00" w:themeColor="accent1"/>
    </w:rPr>
  </w:style>
  <w:style w:type="paragraph" w:customStyle="1" w:styleId="Whowearetitle">
    <w:name w:val="Who we are title"/>
    <w:basedOn w:val="Normal"/>
    <w:next w:val="Text"/>
    <w:uiPriority w:val="6"/>
    <w:qFormat/>
    <w:rsid w:val="0084087A"/>
    <w:pPr>
      <w:framePr w:wrap="notBeside" w:vAnchor="text" w:hAnchor="text" w:y="1"/>
      <w:pBdr>
        <w:top w:val="single" w:sz="36" w:space="1" w:color="EDEDED" w:themeColor="text2"/>
        <w:left w:val="single" w:sz="36" w:space="4" w:color="EDEDED" w:themeColor="text2"/>
        <w:bottom w:val="single" w:sz="36" w:space="1" w:color="EDEDED" w:themeColor="text2"/>
        <w:right w:val="single" w:sz="36" w:space="4" w:color="EDEDED" w:themeColor="text2"/>
      </w:pBdr>
      <w:shd w:val="clear" w:color="auto" w:fill="EDEDED" w:themeFill="text2"/>
      <w:spacing w:before="9000"/>
      <w:ind w:left="1985"/>
    </w:pPr>
    <w:rPr>
      <w:rFonts w:asciiTheme="majorHAnsi" w:hAnsiTheme="majorHAnsi"/>
      <w:caps/>
      <w:color w:val="FFFFFF" w:themeColor="background1"/>
      <w:spacing w:val="20"/>
    </w:rPr>
  </w:style>
  <w:style w:type="paragraph" w:customStyle="1" w:styleId="Disclaimer">
    <w:name w:val="Disclaimer"/>
    <w:basedOn w:val="Text"/>
    <w:uiPriority w:val="6"/>
    <w:qFormat/>
    <w:rsid w:val="0084087A"/>
    <w:pPr>
      <w:spacing w:before="0" w:after="0"/>
      <w:jc w:val="center"/>
    </w:pPr>
    <w:rPr>
      <w:b/>
      <w:color w:val="808080" w:themeColor="accent2"/>
      <w:sz w:val="16"/>
      <w:szCs w:val="18"/>
    </w:rPr>
  </w:style>
  <w:style w:type="paragraph" w:customStyle="1" w:styleId="TextlistbulletsEVENpage">
    <w:name w:val="Text list bullets EVEN page"/>
    <w:basedOn w:val="TextListBullets"/>
    <w:uiPriority w:val="6"/>
    <w:qFormat/>
    <w:rsid w:val="0084087A"/>
    <w:pPr>
      <w:numPr>
        <w:numId w:val="0"/>
      </w:numPr>
      <w:tabs>
        <w:tab w:val="num" w:pos="360"/>
      </w:tabs>
      <w:ind w:left="4343" w:hanging="357"/>
    </w:pPr>
  </w:style>
  <w:style w:type="paragraph" w:customStyle="1" w:styleId="TextlistnumberedEVENpage">
    <w:name w:val="Text list numbered EVEN page"/>
    <w:basedOn w:val="TextListnumbered"/>
    <w:uiPriority w:val="6"/>
    <w:qFormat/>
    <w:rsid w:val="0084087A"/>
    <w:pPr>
      <w:numPr>
        <w:numId w:val="0"/>
      </w:numPr>
      <w:ind w:left="4343" w:hanging="357"/>
    </w:pPr>
  </w:style>
  <w:style w:type="paragraph" w:customStyle="1" w:styleId="Hyperlink9size">
    <w:name w:val="Hyperlink 9 size"/>
    <w:basedOn w:val="Tabletext"/>
    <w:link w:val="Hyperlink9sizeChar"/>
    <w:uiPriority w:val="6"/>
    <w:rsid w:val="0084087A"/>
    <w:rPr>
      <w:color w:val="002060"/>
      <w:u w:val="single"/>
    </w:rPr>
  </w:style>
  <w:style w:type="paragraph" w:styleId="Closing">
    <w:name w:val="Closing"/>
    <w:basedOn w:val="Normal"/>
    <w:link w:val="ClosingChar"/>
    <w:uiPriority w:val="99"/>
    <w:semiHidden/>
    <w:unhideWhenUsed/>
    <w:rsid w:val="0084087A"/>
    <w:pPr>
      <w:spacing w:after="0" w:line="240" w:lineRule="auto"/>
      <w:ind w:left="4320"/>
    </w:pPr>
  </w:style>
  <w:style w:type="character" w:customStyle="1" w:styleId="ClosingChar">
    <w:name w:val="Closing Char"/>
    <w:basedOn w:val="DefaultParagraphFont"/>
    <w:link w:val="Closing"/>
    <w:uiPriority w:val="99"/>
    <w:semiHidden/>
    <w:rsid w:val="0084087A"/>
    <w:rPr>
      <w:sz w:val="20"/>
      <w:szCs w:val="20"/>
      <w:lang w:val="en-GB"/>
    </w:rPr>
  </w:style>
  <w:style w:type="table" w:styleId="GridTable1Light-Accent1">
    <w:name w:val="Grid Table 1 Light Accent 1"/>
    <w:basedOn w:val="TableNormal"/>
    <w:uiPriority w:val="46"/>
    <w:rsid w:val="0084087A"/>
    <w:pPr>
      <w:spacing w:after="0" w:line="240" w:lineRule="auto"/>
    </w:pPr>
    <w:rPr>
      <w:sz w:val="20"/>
      <w:szCs w:val="20"/>
      <w:lang w:val="fr-BE"/>
    </w:rPr>
    <w:tblPr>
      <w:tblStyleRowBandSize w:val="1"/>
      <w:tblStyleColBandSize w:val="1"/>
      <w:tblBorders>
        <w:top w:val="single" w:sz="4" w:space="0" w:color="FFEA99" w:themeColor="accent1" w:themeTint="66"/>
        <w:left w:val="single" w:sz="4" w:space="0" w:color="FFEA99" w:themeColor="accent1" w:themeTint="66"/>
        <w:bottom w:val="single" w:sz="4" w:space="0" w:color="FFEA99" w:themeColor="accent1" w:themeTint="66"/>
        <w:right w:val="single" w:sz="4" w:space="0" w:color="FFEA99" w:themeColor="accent1" w:themeTint="66"/>
        <w:insideH w:val="single" w:sz="4" w:space="0" w:color="FFEA99" w:themeColor="accent1" w:themeTint="66"/>
        <w:insideV w:val="single" w:sz="4" w:space="0" w:color="FFEA99" w:themeColor="accent1" w:themeTint="66"/>
      </w:tblBorders>
    </w:tblPr>
    <w:tblStylePr w:type="firstRow">
      <w:rPr>
        <w:b/>
        <w:bCs/>
      </w:rPr>
      <w:tblPr/>
      <w:tcPr>
        <w:tcBorders>
          <w:bottom w:val="single" w:sz="12" w:space="0" w:color="FFE066" w:themeColor="accent1" w:themeTint="99"/>
        </w:tcBorders>
      </w:tcPr>
    </w:tblStylePr>
    <w:tblStylePr w:type="lastRow">
      <w:rPr>
        <w:b/>
        <w:bCs/>
      </w:rPr>
      <w:tblPr/>
      <w:tcPr>
        <w:tcBorders>
          <w:top w:val="double" w:sz="2" w:space="0" w:color="FFE066"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4087A"/>
    <w:rPr>
      <w:color w:val="605E5C"/>
      <w:shd w:val="clear" w:color="auto" w:fill="E1DFDD"/>
    </w:rPr>
  </w:style>
  <w:style w:type="character" w:customStyle="1" w:styleId="TabletextChar">
    <w:name w:val="Table text Char"/>
    <w:basedOn w:val="DefaultParagraphFont"/>
    <w:link w:val="Tabletext"/>
    <w:rsid w:val="0084087A"/>
    <w:rPr>
      <w:rFonts w:ascii="HelveticaNeueLT Std" w:hAnsi="HelveticaNeueLT Std"/>
      <w:sz w:val="18"/>
      <w:szCs w:val="20"/>
      <w:lang w:val="en-GB"/>
    </w:rPr>
  </w:style>
  <w:style w:type="character" w:customStyle="1" w:styleId="Hyperlink9sizeChar">
    <w:name w:val="Hyperlink 9 size Char"/>
    <w:basedOn w:val="TabletextChar"/>
    <w:link w:val="Hyperlink9size"/>
    <w:uiPriority w:val="6"/>
    <w:rsid w:val="0084087A"/>
    <w:rPr>
      <w:rFonts w:ascii="HelveticaNeueLT Std" w:hAnsi="HelveticaNeueLT Std"/>
      <w:color w:val="002060"/>
      <w:sz w:val="18"/>
      <w:szCs w:val="20"/>
      <w:u w:val="single"/>
      <w:lang w:val="en-GB"/>
    </w:rPr>
  </w:style>
  <w:style w:type="paragraph" w:customStyle="1" w:styleId="Agendaitemlist">
    <w:name w:val="Agenda item list"/>
    <w:basedOn w:val="Tabletext"/>
    <w:rsid w:val="0084087A"/>
    <w:pPr>
      <w:numPr>
        <w:numId w:val="26"/>
      </w:numPr>
      <w:tabs>
        <w:tab w:val="num" w:pos="360"/>
      </w:tabs>
      <w:spacing w:before="80" w:after="80"/>
      <w:ind w:left="284" w:right="340" w:hanging="284"/>
    </w:pPr>
    <w:rPr>
      <w:rFonts w:asciiTheme="minorHAnsi" w:hAnsiTheme="minorHAnsi"/>
      <w:szCs w:val="22"/>
    </w:rPr>
  </w:style>
  <w:style w:type="table" w:customStyle="1" w:styleId="TableGrid1">
    <w:name w:val="Table Grid1"/>
    <w:basedOn w:val="TableNormal"/>
    <w:next w:val="TableGrid"/>
    <w:uiPriority w:val="59"/>
    <w:rsid w:val="0084087A"/>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lock">
    <w:name w:val="Heading block"/>
    <w:basedOn w:val="Heading3"/>
    <w:uiPriority w:val="6"/>
    <w:qFormat/>
    <w:rsid w:val="0084087A"/>
    <w:pPr>
      <w:shd w:val="clear" w:color="auto" w:fill="000000" w:themeFill="text1"/>
      <w:spacing w:after="200" w:line="264" w:lineRule="auto"/>
    </w:pPr>
    <w:rPr>
      <w:sz w:val="22"/>
      <w:szCs w:val="22"/>
    </w:rPr>
  </w:style>
  <w:style w:type="paragraph" w:customStyle="1" w:styleId="TextAccentBoxA">
    <w:name w:val="Text Accent Box A"/>
    <w:basedOn w:val="Normal"/>
    <w:uiPriority w:val="2"/>
    <w:qFormat/>
    <w:rsid w:val="0084087A"/>
    <w:pPr>
      <w:spacing w:line="240" w:lineRule="auto"/>
    </w:pPr>
  </w:style>
  <w:style w:type="paragraph" w:customStyle="1" w:styleId="BoardItem">
    <w:name w:val="Board Item"/>
    <w:basedOn w:val="ListParagraph"/>
    <w:next w:val="BoardText"/>
    <w:uiPriority w:val="6"/>
    <w:qFormat/>
    <w:rsid w:val="0084087A"/>
    <w:pPr>
      <w:numPr>
        <w:numId w:val="9"/>
      </w:numPr>
      <w:spacing w:before="300"/>
      <w:ind w:left="567" w:hanging="567"/>
      <w:contextualSpacing w:val="0"/>
    </w:pPr>
    <w:rPr>
      <w:rFonts w:ascii="Helvetica" w:hAnsi="Helvetica"/>
      <w:b/>
      <w:color w:val="808080" w:themeColor="background2"/>
      <w:sz w:val="24"/>
      <w:szCs w:val="24"/>
    </w:rPr>
  </w:style>
  <w:style w:type="paragraph" w:customStyle="1" w:styleId="BoardSub-item">
    <w:name w:val="Board Sub-item"/>
    <w:basedOn w:val="ListParagraph"/>
    <w:next w:val="BoardText"/>
    <w:uiPriority w:val="6"/>
    <w:qFormat/>
    <w:rsid w:val="0084087A"/>
    <w:pPr>
      <w:numPr>
        <w:ilvl w:val="1"/>
        <w:numId w:val="9"/>
      </w:numPr>
      <w:spacing w:before="200"/>
      <w:ind w:left="567" w:hanging="567"/>
      <w:contextualSpacing w:val="0"/>
    </w:pPr>
    <w:rPr>
      <w:rFonts w:ascii="Helvetica" w:hAnsi="Helvetica"/>
      <w:b/>
    </w:rPr>
  </w:style>
  <w:style w:type="paragraph" w:customStyle="1" w:styleId="Boardlowestlevel">
    <w:name w:val="Board lowest level"/>
    <w:basedOn w:val="ListParagraph"/>
    <w:next w:val="Normal"/>
    <w:uiPriority w:val="6"/>
    <w:qFormat/>
    <w:rsid w:val="0084087A"/>
    <w:pPr>
      <w:numPr>
        <w:ilvl w:val="2"/>
        <w:numId w:val="9"/>
      </w:numPr>
      <w:spacing w:before="200"/>
      <w:contextualSpacing w:val="0"/>
    </w:pPr>
  </w:style>
  <w:style w:type="paragraph" w:customStyle="1" w:styleId="BoardText">
    <w:name w:val="Board Text"/>
    <w:basedOn w:val="Text"/>
    <w:qFormat/>
    <w:rsid w:val="0084087A"/>
    <w:pPr>
      <w:numPr>
        <w:numId w:val="1"/>
      </w:numPr>
      <w:ind w:left="567" w:hanging="567"/>
    </w:pPr>
  </w:style>
  <w:style w:type="paragraph" w:customStyle="1" w:styleId="Programtitle">
    <w:name w:val="Program title"/>
    <w:basedOn w:val="Normal"/>
    <w:uiPriority w:val="1"/>
    <w:rsid w:val="0084087A"/>
    <w:pPr>
      <w:spacing w:before="600" w:after="600" w:line="192" w:lineRule="auto"/>
    </w:pPr>
    <w:rPr>
      <w:rFonts w:asciiTheme="majorHAnsi" w:hAnsiTheme="majorHAnsi"/>
      <w:color w:val="FFCC00" w:themeColor="accent1"/>
      <w:sz w:val="32"/>
    </w:rPr>
  </w:style>
  <w:style w:type="paragraph" w:customStyle="1" w:styleId="Programcontent">
    <w:name w:val="Program content"/>
    <w:basedOn w:val="Normal"/>
    <w:uiPriority w:val="1"/>
    <w:qFormat/>
    <w:rsid w:val="0084087A"/>
    <w:pPr>
      <w:spacing w:before="120" w:after="0"/>
    </w:pPr>
    <w:rPr>
      <w:sz w:val="22"/>
    </w:rPr>
  </w:style>
  <w:style w:type="paragraph" w:customStyle="1" w:styleId="Programsessiontitle">
    <w:name w:val="Program session title"/>
    <w:basedOn w:val="Normal"/>
    <w:uiPriority w:val="1"/>
    <w:qFormat/>
    <w:rsid w:val="0084087A"/>
    <w:pPr>
      <w:keepNext/>
      <w:spacing w:after="0" w:line="240" w:lineRule="auto"/>
    </w:pPr>
    <w:rPr>
      <w:rFonts w:ascii="Domus Titling Extrabold" w:hAnsi="Domus Titling Extrabold"/>
      <w:color w:val="000000" w:themeColor="text1"/>
      <w:sz w:val="22"/>
    </w:rPr>
  </w:style>
  <w:style w:type="paragraph" w:customStyle="1" w:styleId="Speakerstitle">
    <w:name w:val="Speakers title"/>
    <w:basedOn w:val="Text"/>
    <w:uiPriority w:val="1"/>
    <w:qFormat/>
    <w:rsid w:val="0084087A"/>
    <w:pPr>
      <w:keepNext/>
      <w:shd w:val="solid" w:color="FFCC00" w:themeColor="accent1" w:fill="FFCC00" w:themeFill="accent1"/>
      <w:tabs>
        <w:tab w:val="right" w:leader="dot" w:pos="9854"/>
      </w:tabs>
      <w:spacing w:after="120" w:line="192" w:lineRule="auto"/>
      <w:jc w:val="left"/>
    </w:pPr>
    <w:rPr>
      <w:rFonts w:ascii="Domus Titling Extrabold" w:hAnsi="Domus Titling Extrabold"/>
      <w:color w:val="000000" w:themeColor="accent3"/>
      <w:sz w:val="22"/>
    </w:rPr>
  </w:style>
  <w:style w:type="paragraph" w:customStyle="1" w:styleId="Speakertext">
    <w:name w:val="Speaker text"/>
    <w:basedOn w:val="Speakerstitle"/>
    <w:uiPriority w:val="1"/>
    <w:qFormat/>
    <w:rsid w:val="0084087A"/>
    <w:pPr>
      <w:keepNext w:val="0"/>
      <w:keepLines/>
      <w:shd w:val="clear" w:color="FFCC00" w:themeColor="accent1" w:fill="auto"/>
      <w:spacing w:line="264" w:lineRule="auto"/>
      <w:ind w:left="2835"/>
      <w:jc w:val="both"/>
    </w:pPr>
    <w:rPr>
      <w:rFonts w:asciiTheme="minorHAnsi" w:hAnsiTheme="minorHAnsi"/>
      <w:sz w:val="20"/>
    </w:rPr>
  </w:style>
  <w:style w:type="paragraph" w:customStyle="1" w:styleId="Eventtype">
    <w:name w:val="Event type"/>
    <w:basedOn w:val="Normal"/>
    <w:next w:val="Heading1"/>
    <w:rsid w:val="0084087A"/>
    <w:pPr>
      <w:ind w:left="737"/>
    </w:pPr>
    <w:rPr>
      <w:rFonts w:ascii="HelveticaNeueLT Std" w:hAnsi="HelveticaNeueLT Std"/>
      <w:b/>
      <w:color w:val="000000" w:themeColor="text1"/>
      <w:sz w:val="36"/>
      <w:szCs w:val="36"/>
      <w:lang w:val="en-US"/>
    </w:rPr>
  </w:style>
  <w:style w:type="paragraph" w:customStyle="1" w:styleId="Questionnumbered">
    <w:name w:val="Question numbered"/>
    <w:basedOn w:val="Text"/>
    <w:next w:val="Text"/>
    <w:uiPriority w:val="6"/>
    <w:qFormat/>
    <w:rsid w:val="0084087A"/>
    <w:pPr>
      <w:ind w:left="357" w:hanging="357"/>
    </w:pPr>
  </w:style>
  <w:style w:type="paragraph" w:customStyle="1" w:styleId="Questionnotnumbered">
    <w:name w:val="Question not numbered"/>
    <w:basedOn w:val="Text"/>
    <w:next w:val="Text"/>
    <w:uiPriority w:val="6"/>
    <w:qFormat/>
    <w:rsid w:val="0084087A"/>
    <w:rPr>
      <w:b/>
      <w:color w:val="000000" w:themeColor="accent3"/>
    </w:rPr>
  </w:style>
  <w:style w:type="table" w:customStyle="1" w:styleId="FEESimple1">
    <w:name w:val="FEE Simple1"/>
    <w:basedOn w:val="TableNormal"/>
    <w:uiPriority w:val="99"/>
    <w:rsid w:val="0084087A"/>
    <w:pPr>
      <w:keepNext/>
      <w:spacing w:before="60" w:after="60" w:line="240" w:lineRule="auto"/>
    </w:pPr>
    <w:rPr>
      <w:sz w:val="20"/>
      <w:lang w:val="fr-BE"/>
    </w:rPr>
    <w:tblPr>
      <w:tblBorders>
        <w:top w:val="single" w:sz="4" w:space="0" w:color="FFCC00" w:themeColor="accent1"/>
        <w:left w:val="single" w:sz="4" w:space="0" w:color="FFCC00" w:themeColor="accent1"/>
        <w:bottom w:val="single" w:sz="4" w:space="0" w:color="FFCC00" w:themeColor="accent1"/>
        <w:right w:val="single" w:sz="4" w:space="0" w:color="FFCC00" w:themeColor="accent1"/>
        <w:insideH w:val="single" w:sz="4" w:space="0" w:color="FFCC00" w:themeColor="accent1"/>
        <w:insideV w:val="single" w:sz="4" w:space="0" w:color="FFCC00" w:themeColor="accent1"/>
      </w:tblBorders>
    </w:tblPr>
    <w:tblStylePr w:type="firstRow">
      <w:rPr>
        <w:b/>
      </w:rPr>
      <w:tblPr/>
      <w:tcPr>
        <w:tcBorders>
          <w:top w:val="single" w:sz="4" w:space="0" w:color="FFCC00" w:themeColor="accent1"/>
          <w:left w:val="single" w:sz="4" w:space="0" w:color="FFCC00" w:themeColor="accent1"/>
          <w:bottom w:val="single" w:sz="18" w:space="0" w:color="FFCC00" w:themeColor="accent1"/>
          <w:right w:val="single" w:sz="4" w:space="0" w:color="FFCC00" w:themeColor="accent1"/>
          <w:insideH w:val="single" w:sz="4" w:space="0" w:color="FFCC00" w:themeColor="accent1"/>
          <w:insideV w:val="single" w:sz="4" w:space="0" w:color="FFCC00" w:themeColor="accent1"/>
          <w:tl2br w:val="nil"/>
          <w:tr2bl w:val="nil"/>
        </w:tcBorders>
      </w:tcPr>
    </w:tblStylePr>
    <w:tblStylePr w:type="firstCol">
      <w:rPr>
        <w:b/>
      </w:rPr>
    </w:tblStylePr>
  </w:style>
  <w:style w:type="character" w:customStyle="1" w:styleId="Referencestoheaders">
    <w:name w:val="References to headers"/>
    <w:basedOn w:val="DefaultParagraphFont"/>
    <w:uiPriority w:val="1"/>
    <w:rsid w:val="0084087A"/>
    <w:rPr>
      <w:i/>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978953">
      <w:bodyDiv w:val="1"/>
      <w:marLeft w:val="0"/>
      <w:marRight w:val="0"/>
      <w:marTop w:val="0"/>
      <w:marBottom w:val="0"/>
      <w:divBdr>
        <w:top w:val="none" w:sz="0" w:space="0" w:color="auto"/>
        <w:left w:val="none" w:sz="0" w:space="0" w:color="auto"/>
        <w:bottom w:val="none" w:sz="0" w:space="0" w:color="auto"/>
        <w:right w:val="none" w:sz="0" w:space="0" w:color="auto"/>
      </w:divBdr>
    </w:div>
    <w:div w:id="206243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axpublicconsultation@oecd.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ccountancyeurope.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accountancyeurope.sharepoint.com/templates/ACETemplates/Templates%20Masters/ACE%20templates%20master.dotx" TargetMode="External"/></Relationships>
</file>

<file path=word/theme/theme1.xml><?xml version="1.0" encoding="utf-8"?>
<a:theme xmlns:a="http://schemas.openxmlformats.org/drawingml/2006/main" name="ThemeACE">
  <a:themeElements>
    <a:clrScheme name="FACTS">
      <a:dk1>
        <a:srgbClr val="000000"/>
      </a:dk1>
      <a:lt1>
        <a:srgbClr val="FFFFFF"/>
      </a:lt1>
      <a:dk2>
        <a:srgbClr val="EDEDED"/>
      </a:dk2>
      <a:lt2>
        <a:srgbClr val="808080"/>
      </a:lt2>
      <a:accent1>
        <a:srgbClr val="FFCC00"/>
      </a:accent1>
      <a:accent2>
        <a:srgbClr val="808080"/>
      </a:accent2>
      <a:accent3>
        <a:srgbClr val="000000"/>
      </a:accent3>
      <a:accent4>
        <a:srgbClr val="FFCC00"/>
      </a:accent4>
      <a:accent5>
        <a:srgbClr val="0083C2"/>
      </a:accent5>
      <a:accent6>
        <a:srgbClr val="00C18C"/>
      </a:accent6>
      <a:hlink>
        <a:srgbClr val="002060"/>
      </a:hlink>
      <a:folHlink>
        <a:srgbClr val="9E28B5"/>
      </a:folHlink>
    </a:clrScheme>
    <a:fontScheme name="Custom 1">
      <a:majorFont>
        <a:latin typeface="Domus Titling Extrabold"/>
        <a:ea typeface=""/>
        <a:cs typeface=""/>
      </a:majorFont>
      <a:minorFont>
        <a:latin typeface="HelveticaNeueLT Std"/>
        <a:ea typeface=""/>
        <a:cs typeface=""/>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bodyPr vert="horz" lIns="0" tIns="0" rIns="0" bIns="0" rtlCol="0" anchor="t" anchorCtr="0">
        <a:noAutofit/>
      </a:bodyPr>
      <a:lstStyle>
        <a:defPPr>
          <a:lnSpc>
            <a:spcPts val="4500"/>
          </a:lnSpc>
          <a:defRPr sz="3600" baseline="0" dirty="0" smtClean="0"/>
        </a:defPPr>
      </a:lstStyle>
    </a:txDef>
  </a:objectDefaults>
  <a:extraClrSchemeLst/>
  <a:extLst>
    <a:ext uri="{05A4C25C-085E-4340-85A3-A5531E510DB2}">
      <thm15:themeFamily xmlns:thm15="http://schemas.microsoft.com/office/thememl/2012/main" name="Powerpoint theme" id="{1B240693-3316-4AA3-B9E8-B0D72FB6CAA6}" vid="{00E5559A-EC9B-4BA4-8DE2-A2545D7B319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roject Document" ma:contentTypeID="0x010100424757986E2540868CAE723C1A3093F10200FE1C40A38DD04B46BD14C916AF35C21E" ma:contentTypeVersion="13" ma:contentTypeDescription="Create a new document." ma:contentTypeScope="" ma:versionID="10543bec1e561c02e7d50da2006ef743">
  <xsd:schema xmlns:xsd="http://www.w3.org/2001/XMLSchema" xmlns:xs="http://www.w3.org/2001/XMLSchema" xmlns:p="http://schemas.microsoft.com/office/2006/metadata/properties" xmlns:ns2="d676b646-7de3-45ea-99d8-3dad98abe062" xmlns:ns3="302c0d96-a4ce-4883-90bf-0c713138d2f9" targetNamespace="http://schemas.microsoft.com/office/2006/metadata/properties" ma:root="true" ma:fieldsID="94558a8558f21fde04e07f979a671005" ns2:_="" ns3:_="">
    <xsd:import namespace="d676b646-7de3-45ea-99d8-3dad98abe062"/>
    <xsd:import namespace="302c0d96-a4ce-4883-90bf-0c713138d2f9"/>
    <xsd:element name="properties">
      <xsd:complexType>
        <xsd:sequence>
          <xsd:element name="documentManagement">
            <xsd:complexType>
              <xsd:all>
                <xsd:element ref="ns2:feeDocumentDescription" minOccurs="0"/>
                <xsd:element ref="ns2:ge496a40d5c44658bad5a6d98308f1ba" minOccurs="0"/>
                <xsd:element ref="ns2:TaxCatchAll" minOccurs="0"/>
                <xsd:element ref="ns2:TaxCatchAllLabel" minOccurs="0"/>
                <xsd:element ref="ns2:feeIsMainDocument" minOccurs="0"/>
                <xsd:element ref="ns2:feeIsOutput" minOccurs="0"/>
                <xsd:element ref="ns2:feeProjectId" minOccurs="0"/>
                <xsd:element ref="ns2:he2070e74373447aa49b36a2be741829" minOccurs="0"/>
                <xsd:element ref="ns2:g25f68010dc241d5b45ca6584dd3a1ce" minOccurs="0"/>
                <xsd:element ref="ns2:feeGroupsText" minOccurs="0"/>
                <xsd:element ref="ns2:p59a4e4f2bd147658de67f2316c08396" minOccurs="0"/>
                <xsd:element ref="ns2:feeProgramme"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76b646-7de3-45ea-99d8-3dad98abe062" elementFormDefault="qualified">
    <xsd:import namespace="http://schemas.microsoft.com/office/2006/documentManagement/types"/>
    <xsd:import namespace="http://schemas.microsoft.com/office/infopath/2007/PartnerControls"/>
    <xsd:element name="feeDocumentDescription" ma:index="8" nillable="true" ma:displayName="Document Description" ma:internalName="feeDocumentDescription">
      <xsd:simpleType>
        <xsd:restriction base="dms:Note">
          <xsd:maxLength value="255"/>
        </xsd:restriction>
      </xsd:simpleType>
    </xsd:element>
    <xsd:element name="ge496a40d5c44658bad5a6d98308f1ba" ma:index="9" nillable="true" ma:taxonomy="true" ma:internalName="ge496a40d5c44658bad5a6d98308f1ba" ma:taxonomyFieldName="feeDocumentType" ma:displayName="Document Type" ma:fieldId="{0e496a40-d5c4-4658-bad5-a6d98308f1ba}" ma:sspId="0b5ba838-3ba2-4dda-ae8a-b6e34ab8e439" ma:termSetId="eb4d5007-39ee-42b0-b859-03c137a6cfca"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83a97468-2e37-44fb-a731-f85fa9514331}" ma:internalName="TaxCatchAll" ma:showField="CatchAllData" ma:web="d676b646-7de3-45ea-99d8-3dad98abe062">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83a97468-2e37-44fb-a731-f85fa9514331}" ma:internalName="TaxCatchAllLabel" ma:readOnly="true" ma:showField="CatchAllDataLabel" ma:web="d676b646-7de3-45ea-99d8-3dad98abe062">
      <xsd:complexType>
        <xsd:complexContent>
          <xsd:extension base="dms:MultiChoiceLookup">
            <xsd:sequence>
              <xsd:element name="Value" type="dms:Lookup" maxOccurs="unbounded" minOccurs="0" nillable="true"/>
            </xsd:sequence>
          </xsd:extension>
        </xsd:complexContent>
      </xsd:complexType>
    </xsd:element>
    <xsd:element name="feeIsMainDocument" ma:index="13" nillable="true" ma:displayName="Main document" ma:default="0" ma:internalName="feeIsMainDocument">
      <xsd:simpleType>
        <xsd:restriction base="dms:Boolean"/>
      </xsd:simpleType>
    </xsd:element>
    <xsd:element name="feeIsOutput" ma:index="14" nillable="true" ma:displayName="Is Final Document?" ma:default="0" ma:internalName="feeIsOutput">
      <xsd:simpleType>
        <xsd:restriction base="dms:Boolean"/>
      </xsd:simpleType>
    </xsd:element>
    <xsd:element name="feeProjectId" ma:index="15" nillable="true" ma:displayName="Project ID" ma:default="40" ma:internalName="feeProjectId">
      <xsd:simpleType>
        <xsd:restriction base="dms:Text"/>
      </xsd:simpleType>
    </xsd:element>
    <xsd:element name="he2070e74373447aa49b36a2be741829" ma:index="16" nillable="true" ma:taxonomy="true" ma:internalName="he2070e74373447aa49b36a2be741829" ma:taxonomyFieldName="feeProjectType" ma:displayName="Project Type" ma:default="48;#Publication|5a030a6a-e2da-4bc7-be81-15799139e461" ma:fieldId="{1e2070e7-4373-447a-a49b-36a2be741829}" ma:sspId="0b5ba838-3ba2-4dda-ae8a-b6e34ab8e439" ma:termSetId="b5671f97-14a9-4d36-bb21-ff59f02092d1" ma:anchorId="00000000-0000-0000-0000-000000000000" ma:open="false" ma:isKeyword="false">
      <xsd:complexType>
        <xsd:sequence>
          <xsd:element ref="pc:Terms" minOccurs="0" maxOccurs="1"/>
        </xsd:sequence>
      </xsd:complexType>
    </xsd:element>
    <xsd:element name="g25f68010dc241d5b45ca6584dd3a1ce" ma:index="18" nillable="true" ma:taxonomy="true" ma:internalName="g25f68010dc241d5b45ca6584dd3a1ce" ma:taxonomyFieldName="feeGroupsTax" ma:displayName="Groups" ma:fieldId="{025f6801-0dc2-41d5-b45c-a6584dd3a1ce}" ma:taxonomyMulti="true" ma:sspId="0b5ba838-3ba2-4dda-ae8a-b6e34ab8e439" ma:termSetId="6f599337-83ad-4a93-8b76-be18ade350fe" ma:anchorId="00000000-0000-0000-0000-000000000000" ma:open="false" ma:isKeyword="false">
      <xsd:complexType>
        <xsd:sequence>
          <xsd:element ref="pc:Terms" minOccurs="0" maxOccurs="1"/>
        </xsd:sequence>
      </xsd:complexType>
    </xsd:element>
    <xsd:element name="feeGroupsText" ma:index="20" nillable="true" ma:displayName="Groups" ma:default="Tax Policy Group and VAT Task Force" ma:internalName="feeGroupsText">
      <xsd:simpleType>
        <xsd:restriction base="dms:Text"/>
      </xsd:simpleType>
    </xsd:element>
    <xsd:element name="p59a4e4f2bd147658de67f2316c08396" ma:index="21" nillable="true" ma:taxonomy="true" ma:internalName="p59a4e4f2bd147658de67f2316c08396" ma:taxonomyFieldName="feeTags" ma:displayName="Tags" ma:default="" ma:fieldId="{959a4e4f-2bd1-4765-8de6-7f2316c08396}" ma:taxonomyMulti="true" ma:sspId="0b5ba838-3ba2-4dda-ae8a-b6e34ab8e439" ma:termSetId="3b87cf95-1c5a-4665-adf6-c6dc20d84818" ma:anchorId="00000000-0000-0000-0000-000000000000" ma:open="false" ma:isKeyword="false">
      <xsd:complexType>
        <xsd:sequence>
          <xsd:element ref="pc:Terms" minOccurs="0" maxOccurs="1"/>
        </xsd:sequence>
      </xsd:complexType>
    </xsd:element>
    <xsd:element name="feeProgramme" ma:index="23" nillable="true" ma:displayName="Programme" ma:default="" ma:internalName="feeProgram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2c0d96-a4ce-4883-90bf-0c713138d2f9"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59a4e4f2bd147658de67f2316c08396 xmlns="d676b646-7de3-45ea-99d8-3dad98abe062">
      <Terms xmlns="http://schemas.microsoft.com/office/infopath/2007/PartnerControls">
        <TermInfo xmlns="http://schemas.microsoft.com/office/infopath/2007/PartnerControls">
          <TermName xmlns="http://schemas.microsoft.com/office/infopath/2007/PartnerControls">Tax</TermName>
          <TermId xmlns="http://schemas.microsoft.com/office/infopath/2007/PartnerControls">3f1e05b2-5a91-4774-a1f0-1ee9069c5014</TermId>
        </TermInfo>
        <TermInfo xmlns="http://schemas.microsoft.com/office/infopath/2007/PartnerControls">
          <TermName xmlns="http://schemas.microsoft.com/office/infopath/2007/PartnerControls">Technology</TermName>
          <TermId xmlns="http://schemas.microsoft.com/office/infopath/2007/PartnerControls">644456b4-2939-4e03-a669-32ac76fa3d67</TermId>
        </TermInfo>
      </Terms>
    </p59a4e4f2bd147658de67f2316c08396>
    <feeProgramme xmlns="d676b646-7de3-45ea-99d8-3dad98abe062" xsi:nil="true"/>
    <he2070e74373447aa49b36a2be741829 xmlns="d676b646-7de3-45ea-99d8-3dad98abe062">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5a030a6a-e2da-4bc7-be81-15799139e461</TermId>
        </TermInfo>
      </Terms>
    </he2070e74373447aa49b36a2be741829>
    <feeIsOutput xmlns="d676b646-7de3-45ea-99d8-3dad98abe062">true</feeIsOutput>
    <feeIsMainDocument xmlns="d676b646-7de3-45ea-99d8-3dad98abe062">true</feeIsMainDocument>
    <feeGroupsText xmlns="d676b646-7de3-45ea-99d8-3dad98abe062">Tax Policy Group and VAT Task Force</feeGroupsText>
    <feeDocumentDescription xmlns="d676b646-7de3-45ea-99d8-3dad98abe062" xsi:nil="true"/>
    <ge496a40d5c44658bad5a6d98308f1ba xmlns="d676b646-7de3-45ea-99d8-3dad98abe06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3b717cbb-6319-4314-83d2-bc0d21c1db96</TermId>
        </TermInfo>
      </Terms>
    </ge496a40d5c44658bad5a6d98308f1ba>
    <TaxCatchAll xmlns="d676b646-7de3-45ea-99d8-3dad98abe062">
      <Value>48</Value>
      <Value>40</Value>
      <Value>53</Value>
      <Value>93</Value>
    </TaxCatchAll>
    <g25f68010dc241d5b45ca6584dd3a1ce xmlns="d676b646-7de3-45ea-99d8-3dad98abe062">
      <Terms xmlns="http://schemas.microsoft.com/office/infopath/2007/PartnerControls"/>
    </g25f68010dc241d5b45ca6584dd3a1ce>
    <feeProjectId xmlns="d676b646-7de3-45ea-99d8-3dad98abe062">280</feeProject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7E621-E689-4236-B6D3-80A989543F8D}">
  <ds:schemaRefs>
    <ds:schemaRef ds:uri="http://schemas.microsoft.com/sharepoint/v3/contenttype/forms"/>
  </ds:schemaRefs>
</ds:datastoreItem>
</file>

<file path=customXml/itemProps2.xml><?xml version="1.0" encoding="utf-8"?>
<ds:datastoreItem xmlns:ds="http://schemas.openxmlformats.org/officeDocument/2006/customXml" ds:itemID="{6746476C-923C-44A5-A7CF-3039676CB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76b646-7de3-45ea-99d8-3dad98abe062"/>
    <ds:schemaRef ds:uri="302c0d96-a4ce-4883-90bf-0c713138d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C22FC2-7F23-42C0-9DF4-AF934AC5D214}">
  <ds:schemaRefs>
    <ds:schemaRef ds:uri="http://schemas.microsoft.com/office/2006/metadata/properties"/>
    <ds:schemaRef ds:uri="http://schemas.microsoft.com/office/infopath/2007/PartnerControls"/>
    <ds:schemaRef ds:uri="d676b646-7de3-45ea-99d8-3dad98abe062"/>
  </ds:schemaRefs>
</ds:datastoreItem>
</file>

<file path=customXml/itemProps4.xml><?xml version="1.0" encoding="utf-8"?>
<ds:datastoreItem xmlns:ds="http://schemas.openxmlformats.org/officeDocument/2006/customXml" ds:itemID="{26936B3C-069F-4987-B656-3E7ADB23F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ACE%20templates%20master</Template>
  <TotalTime>0</TotalTime>
  <Pages>8</Pages>
  <Words>2550</Words>
  <Characters>14541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Dragusin</dc:creator>
  <cp:keywords/>
  <dc:description/>
  <cp:lastModifiedBy>Ilayda Nijhar</cp:lastModifiedBy>
  <cp:revision>2</cp:revision>
  <dcterms:created xsi:type="dcterms:W3CDTF">2020-04-09T14:17:00Z</dcterms:created>
  <dcterms:modified xsi:type="dcterms:W3CDTF">2020-04-09T14:17:00Z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0x010100424757986E2540868CAE723C1A3093F10200FE1C40A38DD04B46BD14C916AF35C21E</vt:lpwstr>
  </property>
  <property fmtid="{D5CDD505-2E9C-101B-9397-08002B2CF9AE}" pid="3" name="AuthorIds_UIVersion_5">
    <vt:lpwstr>141</vt:lpwstr>
  </property>
  <property fmtid="{D5CDD505-2E9C-101B-9397-08002B2CF9AE}" pid="4" name="feeTags">
    <vt:lpwstr>53;#Tax|3f1e05b2-5a91-4774-a1f0-1ee9069c5014;#93;#Technology|644456b4-2939-4e03-a669-32ac76fa3d67</vt:lpwstr>
  </property>
  <property fmtid="{D5CDD505-2E9C-101B-9397-08002B2CF9AE}" pid="5" name="feeGroupsTax">
    <vt:lpwstr/>
  </property>
  <property fmtid="{D5CDD505-2E9C-101B-9397-08002B2CF9AE}" pid="6" name="feeDocumentType">
    <vt:lpwstr>40;#Communication|3b717cbb-6319-4314-83d2-bc0d21c1db96</vt:lpwstr>
  </property>
  <property fmtid="{D5CDD505-2E9C-101B-9397-08002B2CF9AE}" pid="7" name="feeProjectType">
    <vt:lpwstr>48;#Publication|5a030a6a-e2da-4bc7-be81-15799139e461</vt:lpwstr>
  </property>
  <property fmtid="{D5CDD505-2E9C-101B-9397-08002B2CF9AE}" pid="8" name="AuthorIds_UIVersion_3">
    <vt:lpwstr>27</vt:lpwstr>
  </property>
  <property fmtid="{D5CDD505-2E9C-101B-9397-08002B2CF9AE}" pid="9" name="AuthorIds_UIVersion_9">
    <vt:lpwstr>18</vt:lpwstr>
  </property>
  <property fmtid="{D5CDD505-2E9C-101B-9397-08002B2CF9AE}" pid="10" name="AuthorIds_UIVersion_10">
    <vt:lpwstr>27</vt:lpwstr>
  </property>
  <property fmtid="{D5CDD505-2E9C-101B-9397-08002B2CF9AE}" pid="11" name="AuthorIds_UIVersion_12">
    <vt:lpwstr>27</vt:lpwstr>
  </property>
  <property fmtid="{D5CDD505-2E9C-101B-9397-08002B2CF9AE}" pid="12" name="AuthorIds_UIVersion_13">
    <vt:lpwstr>42</vt:lpwstr>
  </property>
  <property fmtid="{D5CDD505-2E9C-101B-9397-08002B2CF9AE}" pid="13" name="AuthorIds_UIVersion_14">
    <vt:lpwstr>27</vt:lpwstr>
  </property>
  <property fmtid="{D5CDD505-2E9C-101B-9397-08002B2CF9AE}" pid="14" name="AuthorIds_UIVersion_15">
    <vt:lpwstr>27</vt:lpwstr>
  </property>
  <property fmtid="{D5CDD505-2E9C-101B-9397-08002B2CF9AE}" pid="15" name="AuthorIds_UIVersion_16">
    <vt:lpwstr>27</vt:lpwstr>
  </property>
  <property fmtid="{D5CDD505-2E9C-101B-9397-08002B2CF9AE}" pid="16" name="AuthorIds_UIVersion_17">
    <vt:lpwstr>27</vt:lpwstr>
  </property>
  <property fmtid="{D5CDD505-2E9C-101B-9397-08002B2CF9AE}" pid="17" name="AuthorIds_UIVersion_18">
    <vt:lpwstr>27</vt:lpwstr>
  </property>
  <property fmtid="{D5CDD505-2E9C-101B-9397-08002B2CF9AE}" pid="18" name="AuthorIds_UIVersion_20">
    <vt:lpwstr>27</vt:lpwstr>
  </property>
  <property fmtid="{D5CDD505-2E9C-101B-9397-08002B2CF9AE}" pid="19" name="AuthorIds_UIVersion_21">
    <vt:lpwstr>27</vt:lpwstr>
  </property>
  <property fmtid="{D5CDD505-2E9C-101B-9397-08002B2CF9AE}" pid="20" name="AuthorIds_UIVersion_22">
    <vt:lpwstr>42</vt:lpwstr>
  </property>
  <property fmtid="{D5CDD505-2E9C-101B-9397-08002B2CF9AE}" pid="21" name="AuthorIds_UIVersion_23">
    <vt:lpwstr>42</vt:lpwstr>
  </property>
  <property fmtid="{D5CDD505-2E9C-101B-9397-08002B2CF9AE}" pid="22" name="AuthorIds_UIVersion_27">
    <vt:lpwstr>1128</vt:lpwstr>
  </property>
  <property fmtid="{D5CDD505-2E9C-101B-9397-08002B2CF9AE}" pid="23" name="AuthorIds_UIVersion_29">
    <vt:lpwstr>1128</vt:lpwstr>
  </property>
  <property fmtid="{D5CDD505-2E9C-101B-9397-08002B2CF9AE}" pid="24" name="AuthorIds_UIVersion_33">
    <vt:lpwstr>27</vt:lpwstr>
  </property>
  <property fmtid="{D5CDD505-2E9C-101B-9397-08002B2CF9AE}" pid="25" name="AuthorIds_UIVersion_34">
    <vt:lpwstr>27</vt:lpwstr>
  </property>
  <property fmtid="{D5CDD505-2E9C-101B-9397-08002B2CF9AE}" pid="26" name="AuthorIds_UIVersion_35">
    <vt:lpwstr>27</vt:lpwstr>
  </property>
</Properties>
</file>